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eastAsia="zh-CN"/>
        </w:rPr>
      </w:pPr>
    </w:p>
    <w:p>
      <w:pPr>
        <w:spacing w:line="660" w:lineRule="exact"/>
        <w:jc w:val="center"/>
        <w:rPr>
          <w:rFonts w:hint="eastAsia" w:ascii="黑体" w:hAnsi="黑体" w:eastAsia="黑体" w:cs="黑体"/>
          <w:sz w:val="44"/>
          <w:szCs w:val="44"/>
          <w:lang w:val="en-US" w:eastAsia="zh-CN"/>
        </w:rPr>
      </w:pPr>
      <w:r>
        <w:rPr>
          <w:rFonts w:hint="eastAsia" w:ascii="黑体" w:hAnsi="黑体" w:eastAsia="黑体" w:cs="黑体"/>
          <w:sz w:val="44"/>
          <w:szCs w:val="44"/>
          <w:lang w:eastAsia="zh-CN"/>
        </w:rPr>
        <w:t>积石山县</w:t>
      </w:r>
      <w:r>
        <w:rPr>
          <w:rFonts w:hint="eastAsia" w:ascii="黑体" w:hAnsi="黑体" w:eastAsia="黑体" w:cs="黑体"/>
          <w:sz w:val="44"/>
          <w:szCs w:val="44"/>
          <w:lang w:val="en-US" w:eastAsia="zh-CN"/>
        </w:rPr>
        <w:t>妇女联合会</w:t>
      </w:r>
    </w:p>
    <w:p>
      <w:pPr>
        <w:spacing w:line="660" w:lineRule="exact"/>
        <w:jc w:val="center"/>
        <w:rPr>
          <w:rFonts w:ascii="宋体" w:hAnsi="宋体" w:cs="宋体"/>
          <w:b/>
          <w:bCs/>
          <w:kern w:val="0"/>
          <w:sz w:val="44"/>
          <w:szCs w:val="44"/>
        </w:rPr>
        <w:sectPr>
          <w:footerReference r:id="rId3" w:type="default"/>
          <w:pgSz w:w="11906" w:h="16838"/>
          <w:pgMar w:top="1134" w:right="1134" w:bottom="1440" w:left="1276" w:header="851" w:footer="992" w:gutter="0"/>
          <w:cols w:space="720" w:num="1"/>
          <w:docGrid w:type="lines" w:linePitch="312" w:charSpace="0"/>
        </w:sectPr>
      </w:pPr>
      <w:r>
        <w:rPr>
          <w:rFonts w:hint="eastAsia" w:ascii="黑体" w:hAnsi="黑体" w:eastAsia="黑体" w:cs="黑体"/>
          <w:sz w:val="44"/>
          <w:szCs w:val="44"/>
        </w:rPr>
        <w:t>202</w:t>
      </w:r>
      <w:r>
        <w:rPr>
          <w:rFonts w:hint="eastAsia" w:ascii="黑体" w:hAnsi="黑体" w:eastAsia="黑体" w:cs="黑体"/>
          <w:sz w:val="44"/>
          <w:szCs w:val="44"/>
          <w:lang w:val="en-US" w:eastAsia="zh-CN"/>
        </w:rPr>
        <w:t>4</w:t>
      </w:r>
      <w:r>
        <w:rPr>
          <w:rFonts w:hint="eastAsia" w:ascii="黑体" w:hAnsi="黑体" w:eastAsia="黑体" w:cs="黑体"/>
          <w:sz w:val="44"/>
          <w:szCs w:val="44"/>
        </w:rPr>
        <w:t>年度部门</w:t>
      </w:r>
      <w:r>
        <w:rPr>
          <w:rFonts w:hint="eastAsia" w:ascii="宋体" w:hAnsi="宋体" w:cs="宋体"/>
          <w:b/>
          <w:bCs/>
          <w:kern w:val="0"/>
          <w:sz w:val="44"/>
          <w:szCs w:val="44"/>
        </w:rPr>
        <w:t xml:space="preserve">预算公开情况说明 </w:t>
      </w:r>
    </w:p>
    <w:p>
      <w:pPr>
        <w:jc w:val="center"/>
        <w:rPr>
          <w:rFonts w:hint="eastAsia" w:ascii="黑体" w:hAnsi="黑体" w:eastAsia="黑体" w:cs="黑体"/>
          <w:sz w:val="44"/>
          <w:szCs w:val="44"/>
        </w:rPr>
      </w:pPr>
    </w:p>
    <w:p>
      <w:pPr>
        <w:rPr>
          <w:rFonts w:hint="eastAsia"/>
        </w:rPr>
      </w:pPr>
    </w:p>
    <w:p>
      <w:pPr>
        <w:rPr>
          <w:rFonts w:hint="eastAsia"/>
        </w:rPr>
      </w:pP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第一部分  部门概括</w:t>
      </w:r>
    </w:p>
    <w:p>
      <w:pPr>
        <w:rPr>
          <w:rFonts w:hint="eastAsia" w:ascii="仿宋" w:hAnsi="仿宋" w:eastAsia="仿宋" w:cs="仿宋"/>
          <w:sz w:val="32"/>
          <w:szCs w:val="32"/>
        </w:rPr>
      </w:pP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一、部门职责</w:t>
      </w:r>
    </w:p>
    <w:p>
      <w:pPr>
        <w:ind w:firstLine="480" w:firstLineChars="150"/>
        <w:rPr>
          <w:rFonts w:ascii="仿宋" w:hAnsi="仿宋" w:eastAsia="仿宋"/>
          <w:sz w:val="32"/>
          <w:szCs w:val="28"/>
        </w:rPr>
      </w:pPr>
      <w:r>
        <w:rPr>
          <w:rFonts w:hint="eastAsia" w:ascii="仿宋" w:hAnsi="仿宋" w:eastAsia="仿宋"/>
          <w:sz w:val="32"/>
          <w:szCs w:val="28"/>
        </w:rPr>
        <w:t>1、团结、动员妇女投身创业就业，参与经济建设，促进社会发展。</w:t>
      </w:r>
    </w:p>
    <w:p>
      <w:pPr>
        <w:rPr>
          <w:rFonts w:hint="eastAsia" w:ascii="仿宋" w:hAnsi="仿宋" w:eastAsia="仿宋"/>
          <w:sz w:val="32"/>
          <w:szCs w:val="28"/>
        </w:rPr>
      </w:pPr>
      <w:r>
        <w:rPr>
          <w:rFonts w:hint="eastAsia" w:ascii="仿宋" w:hAnsi="仿宋" w:eastAsia="仿宋"/>
          <w:sz w:val="32"/>
          <w:szCs w:val="28"/>
        </w:rPr>
        <w:t>　　2、教育、引导广大妇女，增强自尊、自信、自立、自强精神，全面提高素质，促进妇女人才成长。</w:t>
      </w:r>
    </w:p>
    <w:p>
      <w:pPr>
        <w:rPr>
          <w:rFonts w:hint="eastAsia" w:ascii="仿宋" w:hAnsi="仿宋" w:eastAsia="仿宋"/>
          <w:sz w:val="32"/>
          <w:szCs w:val="28"/>
        </w:rPr>
      </w:pPr>
      <w:r>
        <w:rPr>
          <w:rFonts w:hint="eastAsia" w:ascii="仿宋" w:hAnsi="仿宋" w:eastAsia="仿宋"/>
          <w:sz w:val="32"/>
          <w:szCs w:val="28"/>
        </w:rPr>
        <w:t>　　3、代表妇女参加社会协商对话，参与民主管理、民主监督，参与有关妇女儿童法律、法规、条例的制订，维护妇女儿童合法权益。</w:t>
      </w:r>
    </w:p>
    <w:p>
      <w:pPr>
        <w:rPr>
          <w:rFonts w:hint="eastAsia" w:ascii="仿宋" w:hAnsi="仿宋" w:eastAsia="仿宋"/>
          <w:sz w:val="32"/>
          <w:szCs w:val="28"/>
        </w:rPr>
      </w:pPr>
      <w:r>
        <w:rPr>
          <w:rFonts w:hint="eastAsia" w:ascii="仿宋" w:hAnsi="仿宋" w:eastAsia="仿宋"/>
          <w:sz w:val="32"/>
          <w:szCs w:val="28"/>
        </w:rPr>
        <w:t>　　4、为妇女儿童服务。加强与社会各界的联系，推动社会各界为妇女儿童办实事、办好事。</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二、机构设置</w:t>
      </w:r>
    </w:p>
    <w:p>
      <w:pPr>
        <w:autoSpaceDE w:val="0"/>
        <w:autoSpaceDN w:val="0"/>
        <w:adjustRightInd w:val="0"/>
        <w:spacing w:before="100" w:after="100" w:line="360" w:lineRule="atLeast"/>
        <w:ind w:firstLine="480"/>
        <w:jc w:val="left"/>
        <w:rPr>
          <w:rFonts w:hint="eastAsia" w:ascii="仿宋" w:hAnsi="仿宋" w:eastAsia="仿宋" w:cs="仿宋_GB2312"/>
          <w:kern w:val="0"/>
          <w:sz w:val="32"/>
          <w:szCs w:val="32"/>
          <w:lang w:val="zh-CN"/>
        </w:rPr>
      </w:pPr>
      <w:r>
        <w:rPr>
          <w:rFonts w:hint="eastAsia" w:ascii="仿宋" w:hAnsi="仿宋" w:eastAsia="仿宋" w:cs="仿宋_GB2312"/>
          <w:kern w:val="0"/>
          <w:sz w:val="32"/>
          <w:szCs w:val="32"/>
          <w:lang w:val="zh-CN"/>
        </w:rPr>
        <w:t xml:space="preserve"> 县妇联现有行政机构1个，与上年没有变化；</w:t>
      </w:r>
    </w:p>
    <w:p>
      <w:pPr>
        <w:ind w:firstLine="1280" w:firstLineChars="400"/>
        <w:jc w:val="both"/>
        <w:rPr>
          <w:rFonts w:hint="eastAsia" w:ascii="黑体" w:hAnsi="黑体" w:eastAsia="黑体" w:cs="黑体"/>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 xml:space="preserve">部分  </w:t>
      </w:r>
      <w:r>
        <w:rPr>
          <w:rFonts w:hint="eastAsia" w:ascii="仿宋_GB2312" w:hAnsi="仿宋" w:eastAsia="仿宋_GB2312"/>
          <w:b/>
          <w:color w:val="000000"/>
          <w:sz w:val="30"/>
          <w:szCs w:val="30"/>
        </w:rPr>
        <w:t>2024年部门预算情况说明</w:t>
      </w:r>
    </w:p>
    <w:p>
      <w:pPr>
        <w:spacing w:line="56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一、收支总体情况说明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2024</w:t>
      </w:r>
      <w:r>
        <w:rPr>
          <w:rFonts w:hint="eastAsia" w:ascii="仿宋" w:hAnsi="仿宋" w:eastAsia="仿宋" w:cs="仿宋"/>
          <w:sz w:val="32"/>
          <w:szCs w:val="32"/>
        </w:rPr>
        <w:t>年度收入</w:t>
      </w:r>
      <w:r>
        <w:rPr>
          <w:rFonts w:hint="eastAsia" w:ascii="仿宋" w:hAnsi="仿宋" w:eastAsia="仿宋" w:cs="仿宋"/>
          <w:sz w:val="32"/>
          <w:szCs w:val="32"/>
          <w:lang w:val="en-US" w:eastAsia="zh-CN"/>
        </w:rPr>
        <w:t>138.58</w:t>
      </w:r>
      <w:r>
        <w:rPr>
          <w:rFonts w:hint="eastAsia" w:ascii="仿宋" w:hAnsi="仿宋" w:eastAsia="仿宋" w:cs="仿宋"/>
          <w:sz w:val="32"/>
          <w:szCs w:val="32"/>
        </w:rPr>
        <w:t>万元，较上年决算数</w:t>
      </w:r>
      <w:r>
        <w:rPr>
          <w:rFonts w:hint="eastAsia" w:ascii="仿宋" w:hAnsi="仿宋" w:eastAsia="仿宋" w:cs="仿宋"/>
          <w:sz w:val="32"/>
          <w:szCs w:val="32"/>
          <w:lang w:val="en-US" w:eastAsia="zh-CN"/>
        </w:rPr>
        <w:t>减少0.96</w:t>
      </w:r>
      <w:r>
        <w:rPr>
          <w:rFonts w:hint="eastAsia" w:ascii="仿宋" w:hAnsi="仿宋" w:eastAsia="仿宋" w:cs="仿宋"/>
          <w:sz w:val="32"/>
          <w:szCs w:val="32"/>
        </w:rPr>
        <w:t>万元,</w:t>
      </w:r>
      <w:r>
        <w:rPr>
          <w:rFonts w:hint="eastAsia" w:ascii="仿宋" w:hAnsi="仿宋" w:eastAsia="仿宋" w:cs="仿宋"/>
          <w:sz w:val="32"/>
          <w:szCs w:val="32"/>
          <w:lang w:val="en-US" w:eastAsia="zh-CN"/>
        </w:rPr>
        <w:t>减少0.006</w:t>
      </w:r>
      <w:r>
        <w:rPr>
          <w:rFonts w:hint="eastAsia" w:ascii="仿宋" w:hAnsi="仿宋" w:eastAsia="仿宋" w:cs="仿宋"/>
          <w:sz w:val="32"/>
          <w:szCs w:val="32"/>
        </w:rPr>
        <w:t>%、主要原因是</w:t>
      </w:r>
      <w:r>
        <w:rPr>
          <w:rFonts w:hint="eastAsia" w:ascii="仿宋" w:hAnsi="仿宋" w:eastAsia="仿宋" w:cs="仿宋"/>
          <w:sz w:val="32"/>
          <w:szCs w:val="32"/>
          <w:lang w:val="en-US" w:eastAsia="zh-CN"/>
        </w:rPr>
        <w:t>无项目款资金</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年度支出</w:t>
      </w:r>
      <w:r>
        <w:rPr>
          <w:rFonts w:hint="eastAsia" w:ascii="仿宋" w:hAnsi="仿宋" w:eastAsia="仿宋" w:cs="仿宋"/>
          <w:sz w:val="32"/>
          <w:szCs w:val="32"/>
          <w:lang w:val="en-US" w:eastAsia="zh-CN"/>
        </w:rPr>
        <w:t>138.58</w:t>
      </w:r>
      <w:r>
        <w:rPr>
          <w:rFonts w:hint="eastAsia" w:ascii="仿宋" w:hAnsi="仿宋" w:eastAsia="仿宋" w:cs="仿宋"/>
          <w:sz w:val="32"/>
          <w:szCs w:val="32"/>
        </w:rPr>
        <w:t>万元。较上年决算数</w:t>
      </w:r>
      <w:r>
        <w:rPr>
          <w:rFonts w:hint="eastAsia" w:ascii="仿宋" w:hAnsi="仿宋" w:eastAsia="仿宋" w:cs="仿宋"/>
          <w:sz w:val="32"/>
          <w:szCs w:val="32"/>
          <w:lang w:val="en-US" w:eastAsia="zh-CN"/>
        </w:rPr>
        <w:t>减少0.96</w:t>
      </w:r>
      <w:r>
        <w:rPr>
          <w:rFonts w:hint="eastAsia" w:ascii="仿宋" w:hAnsi="仿宋" w:eastAsia="仿宋" w:cs="仿宋"/>
          <w:sz w:val="32"/>
          <w:szCs w:val="32"/>
        </w:rPr>
        <w:t>万元,</w:t>
      </w:r>
      <w:r>
        <w:rPr>
          <w:rFonts w:hint="eastAsia" w:ascii="仿宋" w:hAnsi="仿宋" w:eastAsia="仿宋" w:cs="仿宋"/>
          <w:sz w:val="32"/>
          <w:szCs w:val="32"/>
          <w:lang w:val="en-US" w:eastAsia="zh-CN"/>
        </w:rPr>
        <w:t>减少0.006</w:t>
      </w:r>
      <w:r>
        <w:rPr>
          <w:rFonts w:hint="eastAsia" w:ascii="仿宋" w:hAnsi="仿宋" w:eastAsia="仿宋" w:cs="仿宋"/>
          <w:sz w:val="32"/>
          <w:szCs w:val="32"/>
        </w:rPr>
        <w:t>%,主要原因是</w:t>
      </w:r>
      <w:r>
        <w:rPr>
          <w:rFonts w:hint="eastAsia" w:ascii="仿宋" w:hAnsi="仿宋" w:eastAsia="仿宋" w:cs="仿宋"/>
          <w:sz w:val="32"/>
          <w:szCs w:val="32"/>
          <w:lang w:val="en-US" w:eastAsia="zh-CN"/>
        </w:rPr>
        <w:t>无项目款支出</w:t>
      </w:r>
      <w:r>
        <w:rPr>
          <w:rFonts w:hint="eastAsia" w:ascii="仿宋" w:hAnsi="仿宋" w:eastAsia="仿宋" w:cs="仿宋"/>
          <w:sz w:val="32"/>
          <w:szCs w:val="32"/>
        </w:rPr>
        <w:t>。</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二、一般公共预算情况说明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年度收入合计</w:t>
      </w:r>
      <w:r>
        <w:rPr>
          <w:rFonts w:hint="eastAsia" w:ascii="仿宋" w:hAnsi="仿宋" w:eastAsia="仿宋" w:cs="仿宋"/>
          <w:sz w:val="32"/>
          <w:szCs w:val="32"/>
          <w:lang w:val="en-US" w:eastAsia="zh-CN"/>
        </w:rPr>
        <w:t>138.58</w:t>
      </w:r>
      <w:r>
        <w:rPr>
          <w:rFonts w:hint="eastAsia" w:ascii="仿宋" w:hAnsi="仿宋" w:eastAsia="仿宋" w:cs="仿宋"/>
          <w:sz w:val="32"/>
          <w:szCs w:val="32"/>
        </w:rPr>
        <w:t>万元，其中：一般公共预算财政拨款收入</w:t>
      </w:r>
      <w:r>
        <w:rPr>
          <w:rFonts w:hint="eastAsia" w:ascii="仿宋" w:hAnsi="仿宋" w:eastAsia="仿宋" w:cs="仿宋"/>
          <w:sz w:val="32"/>
          <w:szCs w:val="32"/>
          <w:lang w:val="en-US" w:eastAsia="zh-CN"/>
        </w:rPr>
        <w:t>138.58</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w:t>
      </w:r>
      <w:r>
        <w:rPr>
          <w:rFonts w:hint="eastAsia" w:ascii="仿宋" w:hAnsi="仿宋" w:eastAsia="仿宋" w:cs="仿宋"/>
          <w:sz w:val="32"/>
          <w:szCs w:val="32"/>
          <w:lang w:eastAsia="zh-CN"/>
        </w:rPr>
        <w:t>，</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三、一般公共预算财政拨款“三公”经费、培训费、会议费等情况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（一）“三公”经费财政拨款支出总体情况说明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年度“三公”经费决算</w:t>
      </w:r>
      <w:r>
        <w:rPr>
          <w:rFonts w:hint="eastAsia" w:ascii="仿宋" w:hAnsi="仿宋" w:eastAsia="仿宋" w:cs="仿宋"/>
          <w:sz w:val="32"/>
          <w:szCs w:val="32"/>
          <w:lang w:val="en-US" w:eastAsia="zh-CN"/>
        </w:rPr>
        <w:t>0</w:t>
      </w:r>
      <w:r>
        <w:rPr>
          <w:rFonts w:hint="eastAsia" w:ascii="仿宋" w:hAnsi="仿宋" w:eastAsia="仿宋" w:cs="仿宋"/>
          <w:sz w:val="32"/>
          <w:szCs w:val="32"/>
        </w:rPr>
        <w:t>万元，较年初预算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增加（</w:t>
      </w:r>
      <w:r>
        <w:rPr>
          <w:rFonts w:hint="eastAsia" w:ascii="仿宋" w:hAnsi="仿宋" w:eastAsia="仿宋" w:cs="仿宋"/>
          <w:sz w:val="32"/>
          <w:szCs w:val="32"/>
        </w:rPr>
        <w:t>减少</w:t>
      </w:r>
      <w:r>
        <w:rPr>
          <w:rFonts w:hint="eastAsia" w:ascii="仿宋" w:hAnsi="仿宋" w:eastAsia="仿宋" w:cs="仿宋"/>
          <w:sz w:val="32"/>
          <w:szCs w:val="32"/>
          <w:lang w:eastAsia="zh-CN"/>
        </w:rPr>
        <w:t>）</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（二）“三公”经费财政拨款支出决算具体情况说明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1.因公出国（境）费用决算0万元，较年初预算0万元增长（减少）0 万元，增长（下降）0 %，决算数与预算数相等。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2.公务用车购置及运行维护费决算 0万元，较年初预算0万元增长（减少）0万元，增长（下降）0%，决算数与预算数相等。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其中：公务用车购置费决算 0 万元，较年初预算 0 万元增长（减少）0万元，增长（下降）0%，增减的主要原因。</w:t>
      </w:r>
    </w:p>
    <w:p>
      <w:pPr>
        <w:rPr>
          <w:rFonts w:hint="eastAsia" w:ascii="仿宋" w:hAnsi="仿宋" w:eastAsia="仿宋" w:cs="仿宋"/>
          <w:sz w:val="32"/>
          <w:szCs w:val="32"/>
        </w:rPr>
      </w:pPr>
      <w:r>
        <w:rPr>
          <w:rFonts w:hint="eastAsia" w:ascii="仿宋" w:hAnsi="仿宋" w:eastAsia="仿宋" w:cs="仿宋"/>
          <w:sz w:val="32"/>
          <w:szCs w:val="32"/>
        </w:rPr>
        <w:t>公务用车运行维护费决算0万元，较年初预算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万元增长（下降） </w:t>
      </w:r>
      <w:r>
        <w:rPr>
          <w:rFonts w:hint="eastAsia" w:ascii="仿宋" w:hAnsi="仿宋" w:eastAsia="仿宋" w:cs="仿宋"/>
          <w:sz w:val="32"/>
          <w:szCs w:val="32"/>
          <w:lang w:val="en-US" w:eastAsia="zh-CN"/>
        </w:rPr>
        <w:t>0</w:t>
      </w:r>
      <w:r>
        <w:rPr>
          <w:rFonts w:hint="eastAsia" w:ascii="仿宋" w:hAnsi="仿宋" w:eastAsia="仿宋" w:cs="仿宋"/>
          <w:sz w:val="32"/>
          <w:szCs w:val="32"/>
        </w:rPr>
        <w:t>%，增减的主要原因是</w:t>
      </w:r>
      <w:r>
        <w:rPr>
          <w:rFonts w:hint="eastAsia" w:ascii="仿宋" w:hAnsi="仿宋" w:eastAsia="仿宋" w:cs="仿宋"/>
          <w:sz w:val="32"/>
          <w:szCs w:val="32"/>
          <w:lang w:val="en-US" w:eastAsia="zh-CN"/>
        </w:rPr>
        <w:t>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3.公务接待费决算0万元，较年初预算0万元增长（减少）0万元，增长（下降）0%，决算数与预算数相等。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（三）“三公”经费财政拨款支出决算实物量情况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年度本部门因公出国（境）共计 0 个团组、 0人；公务用车购置 0 辆，公务用车保有量为0辆；国内公务接待 0批次、  0 人，其中：国内外事接待 0 批次、0  人；国（境）外公务接待0批次、0人。</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四、一般公共预算财政拨款机关运行经费情况</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年度本部门机关运行经费</w:t>
      </w:r>
      <w:r>
        <w:rPr>
          <w:rFonts w:hint="eastAsia" w:ascii="仿宋" w:hAnsi="仿宋" w:eastAsia="仿宋" w:cs="仿宋"/>
          <w:sz w:val="32"/>
          <w:szCs w:val="32"/>
          <w:lang w:val="en-US" w:eastAsia="zh-CN"/>
        </w:rPr>
        <w:t>8</w:t>
      </w:r>
      <w:r>
        <w:rPr>
          <w:rFonts w:hint="eastAsia" w:ascii="仿宋" w:hAnsi="仿宋" w:eastAsia="仿宋" w:cs="仿宋"/>
          <w:sz w:val="32"/>
          <w:szCs w:val="32"/>
        </w:rPr>
        <w:t>万元，其中：办公费</w:t>
      </w:r>
      <w:r>
        <w:rPr>
          <w:rFonts w:hint="eastAsia" w:ascii="仿宋" w:hAnsi="仿宋" w:eastAsia="仿宋" w:cs="仿宋"/>
          <w:sz w:val="32"/>
          <w:szCs w:val="32"/>
          <w:lang w:val="en-US" w:eastAsia="zh-CN"/>
        </w:rPr>
        <w:t>5</w:t>
      </w:r>
      <w:r>
        <w:rPr>
          <w:rFonts w:hint="eastAsia" w:ascii="仿宋" w:hAnsi="仿宋" w:eastAsia="仿宋" w:cs="仿宋"/>
          <w:sz w:val="32"/>
          <w:szCs w:val="32"/>
        </w:rPr>
        <w:t>万元，邮电费</w:t>
      </w:r>
      <w:r>
        <w:rPr>
          <w:rFonts w:hint="eastAsia" w:ascii="仿宋" w:hAnsi="仿宋" w:eastAsia="仿宋" w:cs="仿宋"/>
          <w:sz w:val="32"/>
          <w:szCs w:val="32"/>
          <w:lang w:val="en-US" w:eastAsia="zh-CN"/>
        </w:rPr>
        <w:t>1.1</w:t>
      </w:r>
      <w:r>
        <w:rPr>
          <w:rFonts w:hint="eastAsia" w:ascii="仿宋" w:hAnsi="仿宋" w:eastAsia="仿宋" w:cs="仿宋"/>
          <w:sz w:val="32"/>
          <w:szCs w:val="32"/>
        </w:rPr>
        <w:t>万元，差旅费</w:t>
      </w:r>
      <w:r>
        <w:rPr>
          <w:rFonts w:hint="eastAsia" w:ascii="仿宋" w:hAnsi="仿宋" w:eastAsia="仿宋" w:cs="仿宋"/>
          <w:sz w:val="32"/>
          <w:szCs w:val="32"/>
          <w:lang w:val="en-US" w:eastAsia="zh-CN"/>
        </w:rPr>
        <w:t>1.9</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五、政府采购安排情况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度本部门政府采购支出0万元，其中：政府采购货物支出0万元、政府采购工程支出0万元、政府采购服务支出0万元。授予中小企业合同金额0万元，占政府采购支出总额的0%，其中：授予小微企业合同金额0万元，占政府采购支出总额的0%。</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六、国有资产占用情况</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截至202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日，本部门固定资产原值</w:t>
      </w:r>
      <w:r>
        <w:rPr>
          <w:rFonts w:hint="eastAsia" w:ascii="仿宋" w:hAnsi="仿宋" w:eastAsia="仿宋" w:cs="仿宋"/>
          <w:sz w:val="32"/>
          <w:szCs w:val="32"/>
          <w:lang w:val="en-US" w:eastAsia="zh-CN"/>
        </w:rPr>
        <w:t>4.59</w:t>
      </w:r>
      <w:r>
        <w:rPr>
          <w:rFonts w:hint="eastAsia" w:ascii="仿宋" w:hAnsi="仿宋" w:eastAsia="仿宋" w:cs="仿宋"/>
          <w:sz w:val="32"/>
          <w:szCs w:val="32"/>
        </w:rPr>
        <w:t>万元，其中设备</w:t>
      </w:r>
      <w:r>
        <w:rPr>
          <w:rFonts w:hint="eastAsia" w:ascii="仿宋" w:hAnsi="仿宋" w:eastAsia="仿宋" w:cs="仿宋"/>
          <w:sz w:val="32"/>
          <w:szCs w:val="32"/>
          <w:lang w:val="en-US" w:eastAsia="zh-CN"/>
        </w:rPr>
        <w:t>4.59</w:t>
      </w:r>
      <w:r>
        <w:rPr>
          <w:rFonts w:hint="eastAsia" w:ascii="仿宋" w:hAnsi="仿宋" w:eastAsia="仿宋" w:cs="仿宋"/>
          <w:sz w:val="32"/>
          <w:szCs w:val="32"/>
        </w:rPr>
        <w:t>万元，单价</w:t>
      </w:r>
      <w:r>
        <w:rPr>
          <w:rFonts w:hint="eastAsia" w:ascii="仿宋" w:hAnsi="仿宋" w:eastAsia="仿宋" w:cs="仿宋"/>
          <w:sz w:val="32"/>
          <w:szCs w:val="32"/>
          <w:lang w:val="en-US" w:eastAsia="zh-CN"/>
        </w:rPr>
        <w:t>100</w:t>
      </w:r>
      <w:r>
        <w:rPr>
          <w:rFonts w:hint="eastAsia" w:ascii="仿宋" w:hAnsi="仿宋" w:eastAsia="仿宋" w:cs="仿宋"/>
          <w:sz w:val="32"/>
          <w:szCs w:val="32"/>
        </w:rPr>
        <w:t>万元（含）以上设备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w:t>
      </w:r>
      <w:r>
        <w:rPr>
          <w:rFonts w:hint="eastAsia" w:ascii="仿宋" w:hAnsi="仿宋" w:eastAsia="仿宋" w:cs="仿宋"/>
          <w:sz w:val="32"/>
          <w:szCs w:val="32"/>
          <w:lang w:eastAsia="zh-CN"/>
        </w:rPr>
        <w:t>。</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七、其他重要事项情况说明</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本单位截止202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日，没有待偿还债务、待回购股权投资和应付工程物资款</w:t>
      </w:r>
      <w:r>
        <w:rPr>
          <w:rFonts w:hint="eastAsia" w:ascii="仿宋" w:hAnsi="仿宋" w:eastAsia="仿宋" w:cs="仿宋"/>
          <w:sz w:val="32"/>
          <w:szCs w:val="32"/>
          <w:lang w:val="en-US" w:eastAsia="zh-CN"/>
        </w:rPr>
        <w:t>.</w:t>
      </w:r>
    </w:p>
    <w:p>
      <w:pPr>
        <w:spacing w:line="56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八、预算绩效管理情况</w:t>
      </w:r>
    </w:p>
    <w:p>
      <w:pPr>
        <w:ind w:firstLine="643" w:firstLineChars="200"/>
        <w:rPr>
          <w:rFonts w:hint="eastAsia" w:ascii="仿宋" w:hAnsi="仿宋" w:eastAsia="仿宋" w:cs="仿宋"/>
          <w:b/>
          <w:bCs/>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（一）预算绩效管理工作开展情况</w:t>
      </w:r>
    </w:p>
    <w:p>
      <w:pPr>
        <w:rPr>
          <w:rFonts w:hint="eastAsia" w:ascii="仿宋" w:hAnsi="仿宋" w:eastAsia="仿宋" w:cs="仿宋"/>
          <w:sz w:val="32"/>
          <w:szCs w:val="32"/>
        </w:rPr>
      </w:pPr>
      <w:r>
        <w:rPr>
          <w:rFonts w:hint="eastAsia" w:ascii="仿宋" w:hAnsi="仿宋" w:eastAsia="仿宋" w:cs="仿宋"/>
          <w:sz w:val="32"/>
          <w:szCs w:val="32"/>
        </w:rPr>
        <w:t>根据预算绩效管理要求，本部门开展了绩效自评，其中，以填报目标自评表形式开展自评，涉及资金</w:t>
      </w:r>
      <w:r>
        <w:rPr>
          <w:rFonts w:hint="eastAsia" w:ascii="仿宋" w:hAnsi="仿宋" w:eastAsia="仿宋" w:cs="仿宋"/>
          <w:sz w:val="32"/>
          <w:szCs w:val="32"/>
          <w:lang w:val="en-US" w:eastAsia="zh-CN"/>
        </w:rPr>
        <w:t>138.58</w:t>
      </w:r>
      <w:r>
        <w:rPr>
          <w:rFonts w:hint="eastAsia" w:ascii="仿宋" w:hAnsi="仿宋" w:eastAsia="仿宋" w:cs="仿宋"/>
          <w:sz w:val="32"/>
          <w:szCs w:val="32"/>
        </w:rPr>
        <w:t>万元；以委托第三方形式开展绩效自评</w:t>
      </w:r>
      <w:r>
        <w:rPr>
          <w:rFonts w:hint="eastAsia" w:ascii="仿宋" w:hAnsi="仿宋" w:eastAsia="仿宋" w:cs="仿宋"/>
          <w:sz w:val="32"/>
          <w:szCs w:val="32"/>
          <w:lang w:val="en-US" w:eastAsia="zh-CN"/>
        </w:rPr>
        <w:t>0</w:t>
      </w:r>
      <w:r>
        <w:rPr>
          <w:rFonts w:hint="eastAsia" w:ascii="仿宋" w:hAnsi="仿宋" w:eastAsia="仿宋" w:cs="仿宋"/>
          <w:sz w:val="32"/>
          <w:szCs w:val="32"/>
        </w:rPr>
        <w:t>项，涉及资金</w:t>
      </w:r>
      <w:r>
        <w:rPr>
          <w:rFonts w:hint="eastAsia" w:ascii="仿宋" w:hAnsi="仿宋" w:eastAsia="仿宋" w:cs="仿宋"/>
          <w:sz w:val="32"/>
          <w:szCs w:val="32"/>
          <w:lang w:val="en-US" w:eastAsia="zh-CN"/>
        </w:rPr>
        <w:t>0</w:t>
      </w:r>
      <w:r>
        <w:rPr>
          <w:rFonts w:hint="eastAsia" w:ascii="仿宋" w:hAnsi="仿宋" w:eastAsia="仿宋" w:cs="仿宋"/>
          <w:sz w:val="32"/>
          <w:szCs w:val="32"/>
        </w:rPr>
        <w:t>万元，从评价情况来看，从评价情况来看，全面落实年初设定的绩效目标，项目总体完成情况较好，立项依据充分、预算编制合理、绩效目标明确、资金到位及时、预算执行进度较快；建立了相应的资金管理办法，完善了财务管理和内部控制等制度措施，有效保障了资金安全和绩效目标如期实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（二）绩效自评结果</w:t>
      </w:r>
    </w:p>
    <w:p>
      <w:pPr>
        <w:ind w:firstLine="620" w:firstLineChars="200"/>
        <w:rPr>
          <w:rFonts w:hint="eastAsia" w:ascii="仿宋" w:hAnsi="仿宋" w:eastAsia="仿宋" w:cs="仿宋"/>
          <w:sz w:val="32"/>
          <w:szCs w:val="32"/>
        </w:rPr>
      </w:pPr>
      <w:r>
        <w:rPr>
          <w:rFonts w:ascii="仿宋_GB2312" w:hAnsi="宋体" w:eastAsia="仿宋_GB2312" w:cs="仿宋_GB2312"/>
          <w:i w:val="0"/>
          <w:iCs w:val="0"/>
          <w:caps w:val="0"/>
          <w:color w:val="333333"/>
          <w:spacing w:val="0"/>
          <w:sz w:val="31"/>
          <w:szCs w:val="31"/>
          <w:shd w:val="clear" w:fill="FFFFFF"/>
        </w:rPr>
        <w:t>1.绩效目标自评</w:t>
      </w:r>
      <w:r>
        <w:rPr>
          <w:rFonts w:hint="eastAsia" w:ascii="仿宋_GB2312" w:hAnsi="宋体" w:eastAsia="仿宋_GB2312" w:cs="仿宋_GB2312"/>
          <w:i w:val="0"/>
          <w:iCs w:val="0"/>
          <w:caps w:val="0"/>
          <w:color w:val="333333"/>
          <w:spacing w:val="0"/>
          <w:sz w:val="31"/>
          <w:szCs w:val="31"/>
          <w:shd w:val="clear" w:fill="FFFFFF"/>
          <w:lang w:eastAsia="zh-CN"/>
        </w:rPr>
        <w:t>表</w:t>
      </w:r>
    </w:p>
    <w:tbl>
      <w:tblPr>
        <w:tblStyle w:val="4"/>
        <w:tblW w:w="112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40"/>
        <w:gridCol w:w="736"/>
        <w:gridCol w:w="1155"/>
        <w:gridCol w:w="1484"/>
        <w:gridCol w:w="1410"/>
        <w:gridCol w:w="1380"/>
        <w:gridCol w:w="1185"/>
        <w:gridCol w:w="1185"/>
        <w:gridCol w:w="1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11275" w:type="dxa"/>
            <w:gridSpan w:val="9"/>
            <w:tcBorders>
              <w:top w:val="nil"/>
              <w:left w:val="nil"/>
              <w:bottom w:val="nil"/>
              <w:right w:val="nil"/>
            </w:tcBorders>
            <w:shd w:val="clear" w:color="auto" w:fill="auto"/>
            <w:noWrap/>
            <w:vAlign w:val="center"/>
          </w:tcPr>
          <w:p>
            <w:pPr>
              <w:keepNext w:val="0"/>
              <w:keepLines w:val="0"/>
              <w:widowControl/>
              <w:suppressLineNumbers w:val="0"/>
              <w:ind w:left="0" w:leftChars="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762750" cy="10160"/>
                  <wp:effectExtent l="0" t="0" r="0" b="0"/>
                  <wp:wrapNone/>
                  <wp:docPr id="2" name="图片_2"/>
                  <wp:cNvGraphicFramePr/>
                  <a:graphic xmlns:a="http://schemas.openxmlformats.org/drawingml/2006/main">
                    <a:graphicData uri="http://schemas.openxmlformats.org/drawingml/2006/picture">
                      <pic:pic xmlns:pic="http://schemas.openxmlformats.org/drawingml/2006/picture">
                        <pic:nvPicPr>
                          <pic:cNvPr id="2" name="图片_2"/>
                          <pic:cNvPicPr/>
                        </pic:nvPicPr>
                        <pic:blipFill>
                          <a:blip r:embed="rId5"/>
                          <a:stretch>
                            <a:fillRect/>
                          </a:stretch>
                        </pic:blipFill>
                        <pic:spPr>
                          <a:xfrm>
                            <a:off x="0" y="0"/>
                            <a:ext cx="6762750" cy="1016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u w:val="none"/>
                <w:lang w:val="en-US" w:eastAsia="zh-CN" w:bidi="ar"/>
              </w:rPr>
              <w:t>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275" w:type="dxa"/>
            <w:gridSpan w:val="9"/>
            <w:tcBorders>
              <w:top w:val="nil"/>
              <w:left w:val="nil"/>
              <w:bottom w:val="nil"/>
              <w:right w:val="nil"/>
            </w:tcBorders>
            <w:shd w:val="clear" w:color="auto" w:fill="auto"/>
            <w:noWrap/>
            <w:vAlign w:val="center"/>
          </w:tcPr>
          <w:p>
            <w:pPr>
              <w:keepNext w:val="0"/>
              <w:keepLines w:val="0"/>
              <w:widowControl/>
              <w:suppressLineNumbers w:val="0"/>
              <w:ind w:left="0" w:leftChars="0"/>
              <w:jc w:val="center"/>
              <w:textAlignment w:val="center"/>
              <w:rPr>
                <w:rFonts w:ascii="仿宋" w:hAnsi="仿宋" w:eastAsia="仿宋" w:cs="仿宋"/>
                <w:i w:val="0"/>
                <w:iCs w:val="0"/>
                <w:color w:val="000000"/>
                <w:sz w:val="23"/>
                <w:szCs w:val="23"/>
                <w:u w:val="none"/>
              </w:rPr>
            </w:pPr>
            <w:r>
              <w:rPr>
                <w:rFonts w:hint="eastAsia" w:ascii="仿宋" w:hAnsi="仿宋" w:eastAsia="仿宋" w:cs="仿宋"/>
                <w:i w:val="0"/>
                <w:iCs w:val="0"/>
                <w:color w:val="000000"/>
                <w:kern w:val="0"/>
                <w:sz w:val="23"/>
                <w:szCs w:val="23"/>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部门名称</w:t>
            </w:r>
          </w:p>
        </w:tc>
        <w:tc>
          <w:tcPr>
            <w:tcW w:w="9935"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1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部门（单位）整体支出</w:t>
            </w:r>
          </w:p>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(万元)</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年初预算数</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全年预算数</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全年执行数</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执行率</w:t>
            </w:r>
          </w:p>
        </w:tc>
        <w:tc>
          <w:tcPr>
            <w:tcW w:w="2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2" w:hRule="atLeast"/>
          <w:jc w:val="center"/>
        </w:trPr>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jc w:val="center"/>
              <w:rPr>
                <w:rFonts w:hint="eastAsia" w:ascii="宋体" w:hAnsi="宋体" w:eastAsia="宋体" w:cs="宋体"/>
                <w:i w:val="0"/>
                <w:iCs w:val="0"/>
                <w:color w:val="000000"/>
                <w:sz w:val="21"/>
                <w:szCs w:val="21"/>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年度资金总额</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138.58</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138.58</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138.58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100%</w:t>
            </w:r>
          </w:p>
        </w:tc>
        <w:tc>
          <w:tcPr>
            <w:tcW w:w="2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jc w:val="center"/>
              <w:rPr>
                <w:rFonts w:hint="eastAsia" w:ascii="宋体" w:hAnsi="宋体" w:eastAsia="宋体" w:cs="宋体"/>
                <w:i w:val="0"/>
                <w:iCs w:val="0"/>
                <w:color w:val="000000"/>
                <w:sz w:val="21"/>
                <w:szCs w:val="21"/>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其中：</w:t>
            </w:r>
          </w:p>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基本支出</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138.58</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138.58</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138.58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100%</w:t>
            </w:r>
          </w:p>
        </w:tc>
        <w:tc>
          <w:tcPr>
            <w:tcW w:w="2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jc w:val="center"/>
              <w:rPr>
                <w:rFonts w:hint="eastAsia" w:ascii="宋体" w:hAnsi="宋体" w:eastAsia="宋体" w:cs="宋体"/>
                <w:i w:val="0"/>
                <w:iCs w:val="0"/>
                <w:color w:val="000000"/>
                <w:sz w:val="21"/>
                <w:szCs w:val="21"/>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项目支出</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default" w:ascii="宋体" w:hAnsi="宋体" w:eastAsia="宋体" w:cs="宋体"/>
                <w:i w:val="0"/>
                <w:iCs w:val="0"/>
                <w:color w:val="000000"/>
                <w:sz w:val="21"/>
                <w:szCs w:val="21"/>
                <w:u w:val="none"/>
                <w:lang w:val="en-US" w:eastAsia="zh-CN"/>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default" w:ascii="宋体" w:hAnsi="宋体" w:eastAsia="宋体" w:cs="宋体"/>
                <w:i w:val="0"/>
                <w:iCs w:val="0"/>
                <w:color w:val="000000"/>
                <w:sz w:val="21"/>
                <w:szCs w:val="21"/>
                <w:u w:val="none"/>
                <w:lang w:val="en-US"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default" w:ascii="宋体" w:hAnsi="宋体" w:eastAsia="宋体" w:cs="宋体"/>
                <w:i w:val="0"/>
                <w:iCs w:val="0"/>
                <w:color w:val="000000"/>
                <w:sz w:val="21"/>
                <w:szCs w:val="21"/>
                <w:u w:val="none"/>
                <w:lang w:val="en-US" w:eastAsia="zh-CN"/>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lang w:val="en-US"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default" w:ascii="宋体" w:hAnsi="宋体" w:eastAsia="宋体" w:cs="宋体"/>
                <w:i w:val="0"/>
                <w:iCs w:val="0"/>
                <w:color w:val="000000"/>
                <w:sz w:val="21"/>
                <w:szCs w:val="21"/>
                <w:u w:val="none"/>
                <w:lang w:val="en-US" w:eastAsia="zh-CN"/>
              </w:rPr>
            </w:pPr>
          </w:p>
        </w:tc>
        <w:tc>
          <w:tcPr>
            <w:tcW w:w="2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jc w:val="center"/>
              <w:rPr>
                <w:rFonts w:hint="eastAsia" w:ascii="宋体" w:hAnsi="宋体" w:eastAsia="宋体" w:cs="宋体"/>
                <w:i w:val="0"/>
                <w:iCs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年度</w:t>
            </w:r>
          </w:p>
          <w:p>
            <w:pPr>
              <w:keepNext w:val="0"/>
              <w:keepLines w:val="0"/>
              <w:widowControl/>
              <w:suppressLineNumbers w:val="0"/>
              <w:ind w:left="0" w:lef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总体</w:t>
            </w:r>
          </w:p>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目标</w:t>
            </w:r>
          </w:p>
        </w:tc>
        <w:tc>
          <w:tcPr>
            <w:tcW w:w="33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预期目标</w:t>
            </w:r>
          </w:p>
        </w:tc>
        <w:tc>
          <w:tcPr>
            <w:tcW w:w="656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jc w:val="center"/>
              <w:rPr>
                <w:rFonts w:hint="eastAsia" w:ascii="宋体" w:hAnsi="宋体" w:eastAsia="宋体" w:cs="宋体"/>
                <w:i w:val="0"/>
                <w:iCs w:val="0"/>
                <w:color w:val="000000"/>
                <w:sz w:val="21"/>
                <w:szCs w:val="21"/>
                <w:u w:val="none"/>
              </w:rPr>
            </w:pPr>
          </w:p>
        </w:tc>
        <w:tc>
          <w:tcPr>
            <w:tcW w:w="33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aps w:val="0"/>
                <w:color w:val="333333"/>
                <w:spacing w:val="0"/>
                <w:sz w:val="18"/>
                <w:szCs w:val="18"/>
                <w:shd w:val="clear" w:fill="FFFFFF"/>
              </w:rPr>
              <w:t>保证每一笔财政拨款合理充分利用，推动组织工作日常有序开展</w:t>
            </w:r>
          </w:p>
        </w:tc>
        <w:tc>
          <w:tcPr>
            <w:tcW w:w="656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aps w:val="0"/>
                <w:color w:val="333333"/>
                <w:spacing w:val="0"/>
                <w:sz w:val="21"/>
                <w:szCs w:val="21"/>
                <w:shd w:val="clear" w:fill="FFFFFF"/>
              </w:rPr>
              <w:t>保证每一笔财政拨款合理充分利用，推动组织工作日常有序高效运转</w:t>
            </w:r>
            <w:r>
              <w:rPr>
                <w:rFonts w:hint="eastAsia" w:ascii="宋体" w:hAnsi="宋体" w:eastAsia="宋体" w:cs="宋体"/>
                <w:i w:val="0"/>
                <w:iCs w:val="0"/>
                <w:caps w:val="0"/>
                <w:color w:val="333333"/>
                <w:spacing w:val="0"/>
                <w:sz w:val="21"/>
                <w:szCs w:val="21"/>
                <w:shd w:val="clear" w:fill="FFFFFF"/>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绩效</w:t>
            </w:r>
          </w:p>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both"/>
              <w:rPr>
                <w:rFonts w:hint="eastAsia" w:ascii="宋体" w:hAnsi="宋体" w:eastAsia="宋体" w:cs="宋体"/>
                <w:i w:val="0"/>
                <w:iCs w:val="0"/>
                <w:color w:val="000000"/>
                <w:sz w:val="21"/>
                <w:szCs w:val="21"/>
                <w:u w:val="none"/>
              </w:rPr>
            </w:pP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jc w:val="center"/>
              <w:rPr>
                <w:rFonts w:hint="eastAsia" w:ascii="宋体" w:hAnsi="宋体" w:eastAsia="宋体" w:cs="宋体"/>
                <w:i w:val="0"/>
                <w:iCs w:val="0"/>
                <w:color w:val="000000"/>
                <w:sz w:val="21"/>
                <w:szCs w:val="21"/>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一级指标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二级指标</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三级指标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年度指标值</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实际完成值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得分</w:t>
            </w: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jc w:val="center"/>
              <w:rPr>
                <w:rFonts w:hint="eastAsia" w:ascii="宋体" w:hAnsi="宋体" w:eastAsia="宋体" w:cs="宋体"/>
                <w:i w:val="0"/>
                <w:iCs w:val="0"/>
                <w:color w:val="000000"/>
                <w:sz w:val="21"/>
                <w:szCs w:val="21"/>
                <w:u w:val="none"/>
              </w:rPr>
            </w:pPr>
          </w:p>
        </w:tc>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产出指标</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数量指标</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aps w:val="0"/>
                <w:color w:val="333333"/>
                <w:spacing w:val="0"/>
                <w:sz w:val="21"/>
                <w:szCs w:val="21"/>
                <w:shd w:val="clear" w:fill="FFFFFF"/>
              </w:rPr>
              <w:t>基本支出预算执行率</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r>
              <w:rPr>
                <w:rFonts w:ascii="Arial" w:hAnsi="Arial" w:eastAsia="宋体" w:cs="Arial"/>
                <w:i w:val="0"/>
                <w:iCs w:val="0"/>
                <w:caps w:val="0"/>
                <w:color w:val="333333"/>
                <w:spacing w:val="0"/>
                <w:sz w:val="21"/>
                <w:szCs w:val="21"/>
                <w:shd w:val="clear" w:fill="FFFFFF"/>
              </w:rPr>
              <w:t>≥</w:t>
            </w:r>
            <w:r>
              <w:rPr>
                <w:rFonts w:hint="eastAsia" w:ascii="宋体" w:hAnsi="宋体" w:eastAsia="宋体" w:cs="宋体"/>
                <w:i w:val="0"/>
                <w:iCs w:val="0"/>
                <w:caps w:val="0"/>
                <w:color w:val="333333"/>
                <w:spacing w:val="0"/>
                <w:sz w:val="21"/>
                <w:szCs w:val="21"/>
                <w:shd w:val="clear" w:fill="FFFFFF"/>
              </w:rPr>
              <w:t>95%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w:t>
            </w: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0" w:type="dxa"/>
            <w:vMerge w:val="continue"/>
            <w:tcBorders>
              <w:left w:val="single" w:color="000000" w:sz="4" w:space="0"/>
              <w:right w:val="single" w:color="000000" w:sz="4" w:space="0"/>
            </w:tcBorders>
            <w:shd w:val="clear" w:color="auto" w:fill="auto"/>
            <w:vAlign w:val="center"/>
          </w:tcPr>
          <w:p>
            <w:pPr>
              <w:ind w:left="0" w:leftChars="0"/>
              <w:jc w:val="center"/>
              <w:rPr>
                <w:rFonts w:hint="eastAsia" w:ascii="宋体" w:hAnsi="宋体" w:eastAsia="宋体" w:cs="宋体"/>
                <w:i w:val="0"/>
                <w:iCs w:val="0"/>
                <w:color w:val="000000"/>
                <w:sz w:val="21"/>
                <w:szCs w:val="21"/>
                <w:u w:val="none"/>
              </w:rPr>
            </w:pPr>
          </w:p>
        </w:tc>
        <w:tc>
          <w:tcPr>
            <w:tcW w:w="736" w:type="dxa"/>
            <w:vMerge w:val="continue"/>
            <w:tcBorders>
              <w:left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p>
        </w:tc>
        <w:tc>
          <w:tcPr>
            <w:tcW w:w="1155" w:type="dxa"/>
            <w:vMerge w:val="continue"/>
            <w:tcBorders>
              <w:left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aps w:val="0"/>
                <w:color w:val="333333"/>
                <w:spacing w:val="0"/>
                <w:sz w:val="21"/>
                <w:szCs w:val="21"/>
                <w:shd w:val="clear" w:fill="FFFFFF"/>
              </w:rPr>
              <w:t>“</w:t>
            </w:r>
            <w:r>
              <w:rPr>
                <w:rFonts w:hint="eastAsia" w:ascii="宋体" w:hAnsi="宋体" w:eastAsia="宋体" w:cs="宋体"/>
                <w:i w:val="0"/>
                <w:iCs w:val="0"/>
                <w:caps w:val="0"/>
                <w:color w:val="333333"/>
                <w:spacing w:val="0"/>
                <w:sz w:val="21"/>
                <w:szCs w:val="21"/>
                <w:shd w:val="clear" w:fill="FFFFFF"/>
                <w:lang w:val="en-US" w:eastAsia="zh-CN"/>
              </w:rPr>
              <w:t>公用</w:t>
            </w:r>
            <w:r>
              <w:rPr>
                <w:rFonts w:hint="eastAsia" w:ascii="宋体" w:hAnsi="宋体" w:eastAsia="宋体" w:cs="宋体"/>
                <w:i w:val="0"/>
                <w:iCs w:val="0"/>
                <w:caps w:val="0"/>
                <w:color w:val="333333"/>
                <w:spacing w:val="0"/>
                <w:sz w:val="21"/>
                <w:szCs w:val="21"/>
                <w:shd w:val="clear" w:fill="FFFFFF"/>
              </w:rPr>
              <w:t>经费”控制率</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aps w:val="0"/>
                <w:color w:val="333333"/>
                <w:spacing w:val="0"/>
                <w:sz w:val="21"/>
                <w:szCs w:val="21"/>
                <w:shd w:val="clear" w:fill="FFFFFF"/>
              </w:rPr>
              <w:t>100%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w:t>
            </w: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1340" w:type="dxa"/>
            <w:vMerge w:val="continue"/>
            <w:tcBorders>
              <w:left w:val="single" w:color="000000" w:sz="4" w:space="0"/>
              <w:right w:val="single" w:color="000000" w:sz="4" w:space="0"/>
            </w:tcBorders>
            <w:shd w:val="clear" w:color="auto" w:fill="auto"/>
            <w:vAlign w:val="center"/>
          </w:tcPr>
          <w:p>
            <w:pPr>
              <w:ind w:left="0" w:leftChars="0"/>
              <w:jc w:val="center"/>
              <w:rPr>
                <w:rFonts w:hint="eastAsia" w:ascii="宋体" w:hAnsi="宋体" w:eastAsia="宋体" w:cs="宋体"/>
                <w:i w:val="0"/>
                <w:iCs w:val="0"/>
                <w:color w:val="000000"/>
                <w:sz w:val="21"/>
                <w:szCs w:val="21"/>
                <w:u w:val="none"/>
              </w:rPr>
            </w:pPr>
          </w:p>
        </w:tc>
        <w:tc>
          <w:tcPr>
            <w:tcW w:w="736" w:type="dxa"/>
            <w:vMerge w:val="continue"/>
            <w:tcBorders>
              <w:left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p>
        </w:tc>
        <w:tc>
          <w:tcPr>
            <w:tcW w:w="115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质量指标</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aps w:val="0"/>
                <w:color w:val="333333"/>
                <w:spacing w:val="0"/>
                <w:sz w:val="21"/>
                <w:szCs w:val="21"/>
                <w:shd w:val="clear" w:fill="FFFFFF"/>
              </w:rPr>
              <w:t>财务管理制度健全性</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aps w:val="0"/>
                <w:color w:val="333333"/>
                <w:spacing w:val="0"/>
                <w:sz w:val="21"/>
                <w:szCs w:val="21"/>
                <w:shd w:val="clear" w:fill="FFFFFF"/>
              </w:rPr>
              <w:t>100%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w:t>
            </w: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0" w:type="dxa"/>
            <w:vMerge w:val="continue"/>
            <w:tcBorders>
              <w:left w:val="single" w:color="000000" w:sz="4" w:space="0"/>
              <w:right w:val="single" w:color="000000" w:sz="4" w:space="0"/>
            </w:tcBorders>
            <w:shd w:val="clear" w:color="auto" w:fill="auto"/>
            <w:vAlign w:val="center"/>
          </w:tcPr>
          <w:p>
            <w:pPr>
              <w:ind w:left="0" w:leftChars="0"/>
              <w:jc w:val="center"/>
              <w:rPr>
                <w:rFonts w:hint="eastAsia" w:ascii="宋体" w:hAnsi="宋体" w:eastAsia="宋体" w:cs="宋体"/>
                <w:i w:val="0"/>
                <w:iCs w:val="0"/>
                <w:color w:val="000000"/>
                <w:sz w:val="21"/>
                <w:szCs w:val="21"/>
                <w:u w:val="none"/>
              </w:rPr>
            </w:pPr>
          </w:p>
        </w:tc>
        <w:tc>
          <w:tcPr>
            <w:tcW w:w="736" w:type="dxa"/>
            <w:vMerge w:val="continue"/>
            <w:tcBorders>
              <w:left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p>
        </w:tc>
        <w:tc>
          <w:tcPr>
            <w:tcW w:w="1155" w:type="dxa"/>
            <w:vMerge w:val="restart"/>
            <w:tcBorders>
              <w:top w:val="single" w:color="000000" w:sz="4" w:space="0"/>
              <w:left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时效指标</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aps w:val="0"/>
                <w:color w:val="333333"/>
                <w:spacing w:val="0"/>
                <w:sz w:val="21"/>
                <w:szCs w:val="21"/>
                <w:shd w:val="clear" w:fill="FFFFFF"/>
              </w:rPr>
              <w:t>资金使用规范性</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aps w:val="0"/>
                <w:color w:val="333333"/>
                <w:spacing w:val="0"/>
                <w:sz w:val="21"/>
                <w:szCs w:val="21"/>
                <w:shd w:val="clear" w:fill="FFFFFF"/>
              </w:rPr>
              <w:t>100%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w:t>
            </w: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0" w:type="dxa"/>
            <w:vMerge w:val="continue"/>
            <w:tcBorders>
              <w:left w:val="single" w:color="000000" w:sz="4" w:space="0"/>
              <w:right w:val="single" w:color="000000" w:sz="4" w:space="0"/>
            </w:tcBorders>
            <w:shd w:val="clear" w:color="auto" w:fill="auto"/>
            <w:vAlign w:val="center"/>
          </w:tcPr>
          <w:p>
            <w:pPr>
              <w:ind w:left="0" w:leftChars="0"/>
              <w:jc w:val="center"/>
              <w:rPr>
                <w:rFonts w:hint="eastAsia" w:ascii="宋体" w:hAnsi="宋体" w:eastAsia="宋体" w:cs="宋体"/>
                <w:i w:val="0"/>
                <w:iCs w:val="0"/>
                <w:color w:val="000000"/>
                <w:sz w:val="21"/>
                <w:szCs w:val="21"/>
                <w:u w:val="none"/>
              </w:rPr>
            </w:pPr>
          </w:p>
        </w:tc>
        <w:tc>
          <w:tcPr>
            <w:tcW w:w="736" w:type="dxa"/>
            <w:vMerge w:val="continue"/>
            <w:tcBorders>
              <w:left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p>
        </w:tc>
        <w:tc>
          <w:tcPr>
            <w:tcW w:w="1155" w:type="dxa"/>
            <w:vMerge w:val="continue"/>
            <w:tcBorders>
              <w:left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aps w:val="0"/>
                <w:color w:val="333333"/>
                <w:spacing w:val="0"/>
                <w:sz w:val="21"/>
                <w:szCs w:val="21"/>
                <w:shd w:val="clear" w:fill="FFFFFF"/>
              </w:rPr>
              <w:t>政府采购规范性</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aps w:val="0"/>
                <w:color w:val="333333"/>
                <w:spacing w:val="0"/>
                <w:sz w:val="21"/>
                <w:szCs w:val="21"/>
                <w:shd w:val="clear" w:fill="FFFFFF"/>
              </w:rPr>
              <w:t>100%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w:t>
            </w: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1340" w:type="dxa"/>
            <w:vMerge w:val="continue"/>
            <w:tcBorders>
              <w:left w:val="single" w:color="000000" w:sz="4" w:space="0"/>
              <w:right w:val="single" w:color="000000" w:sz="4" w:space="0"/>
            </w:tcBorders>
            <w:shd w:val="clear" w:color="auto" w:fill="auto"/>
            <w:vAlign w:val="center"/>
          </w:tcPr>
          <w:p>
            <w:pPr>
              <w:ind w:left="0" w:leftChars="0"/>
              <w:jc w:val="center"/>
              <w:rPr>
                <w:rFonts w:hint="eastAsia" w:ascii="宋体" w:hAnsi="宋体" w:eastAsia="宋体" w:cs="宋体"/>
                <w:i w:val="0"/>
                <w:iCs w:val="0"/>
                <w:color w:val="000000"/>
                <w:sz w:val="21"/>
                <w:szCs w:val="21"/>
                <w:u w:val="none"/>
              </w:rPr>
            </w:pPr>
          </w:p>
        </w:tc>
        <w:tc>
          <w:tcPr>
            <w:tcW w:w="736" w:type="dxa"/>
            <w:vMerge w:val="continue"/>
            <w:tcBorders>
              <w:left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p>
        </w:tc>
        <w:tc>
          <w:tcPr>
            <w:tcW w:w="115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aps w:val="0"/>
                <w:color w:val="333333"/>
                <w:spacing w:val="0"/>
                <w:sz w:val="21"/>
                <w:szCs w:val="21"/>
                <w:shd w:val="clear" w:fill="FFFFFF"/>
              </w:rPr>
              <w:t>产出时效指标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aps w:val="0"/>
                <w:color w:val="333333"/>
                <w:spacing w:val="0"/>
                <w:sz w:val="21"/>
                <w:szCs w:val="21"/>
                <w:shd w:val="clear" w:fill="FFFFFF"/>
              </w:rPr>
              <w:t>100%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5</w:t>
            </w: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0" w:type="dxa"/>
            <w:vMerge w:val="continue"/>
            <w:tcBorders>
              <w:left w:val="single" w:color="000000" w:sz="4" w:space="0"/>
              <w:right w:val="single" w:color="000000" w:sz="4" w:space="0"/>
            </w:tcBorders>
            <w:shd w:val="clear" w:color="auto" w:fill="auto"/>
            <w:vAlign w:val="center"/>
          </w:tcPr>
          <w:p>
            <w:pPr>
              <w:ind w:left="0" w:leftChars="0"/>
              <w:jc w:val="center"/>
              <w:rPr>
                <w:rFonts w:hint="eastAsia" w:ascii="宋体" w:hAnsi="宋体" w:eastAsia="宋体" w:cs="宋体"/>
                <w:i w:val="0"/>
                <w:iCs w:val="0"/>
                <w:color w:val="000000"/>
                <w:sz w:val="21"/>
                <w:szCs w:val="21"/>
                <w:u w:val="none"/>
              </w:rPr>
            </w:pPr>
          </w:p>
        </w:tc>
        <w:tc>
          <w:tcPr>
            <w:tcW w:w="736" w:type="dxa"/>
            <w:vMerge w:val="continue"/>
            <w:tcBorders>
              <w:left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成本指标</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aps w:val="0"/>
                <w:color w:val="333333"/>
                <w:spacing w:val="0"/>
                <w:sz w:val="21"/>
                <w:szCs w:val="21"/>
                <w:shd w:val="clear" w:fill="FFFFFF"/>
              </w:rPr>
              <w:t>中期规划建设完备程度</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aps w:val="0"/>
                <w:color w:val="333333"/>
                <w:spacing w:val="0"/>
                <w:sz w:val="21"/>
                <w:szCs w:val="21"/>
                <w:shd w:val="clear" w:fill="FFFFFF"/>
              </w:rPr>
              <w:t>完备</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完备</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5</w:t>
            </w: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0" w:type="dxa"/>
            <w:vMerge w:val="continue"/>
            <w:tcBorders>
              <w:left w:val="single" w:color="000000" w:sz="4" w:space="0"/>
              <w:right w:val="single" w:color="000000" w:sz="4" w:space="0"/>
            </w:tcBorders>
            <w:shd w:val="clear" w:color="auto" w:fill="auto"/>
            <w:vAlign w:val="center"/>
          </w:tcPr>
          <w:p>
            <w:pPr>
              <w:ind w:left="0" w:leftChars="0"/>
              <w:jc w:val="center"/>
              <w:rPr>
                <w:rFonts w:hint="eastAsia" w:ascii="宋体" w:hAnsi="宋体" w:eastAsia="宋体" w:cs="宋体"/>
                <w:i w:val="0"/>
                <w:iCs w:val="0"/>
                <w:color w:val="000000"/>
                <w:sz w:val="21"/>
                <w:szCs w:val="21"/>
                <w:u w:val="none"/>
              </w:rPr>
            </w:pPr>
          </w:p>
        </w:tc>
        <w:tc>
          <w:tcPr>
            <w:tcW w:w="736" w:type="dxa"/>
            <w:vMerge w:val="continue"/>
            <w:tcBorders>
              <w:left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p>
        </w:tc>
        <w:tc>
          <w:tcPr>
            <w:tcW w:w="1155" w:type="dxa"/>
            <w:vMerge w:val="restart"/>
            <w:tcBorders>
              <w:top w:val="single" w:color="000000" w:sz="4" w:space="0"/>
              <w:left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服务对象满意度指标</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aps w:val="0"/>
                <w:color w:val="333333"/>
                <w:spacing w:val="0"/>
                <w:sz w:val="21"/>
                <w:szCs w:val="21"/>
                <w:shd w:val="clear" w:fill="FFFFFF"/>
              </w:rPr>
              <w:t>档案管理完备性</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r>
              <w:rPr>
                <w:rFonts w:ascii="Arial" w:hAnsi="Arial" w:eastAsia="宋体" w:cs="Arial"/>
                <w:i w:val="0"/>
                <w:iCs w:val="0"/>
                <w:caps w:val="0"/>
                <w:color w:val="333333"/>
                <w:spacing w:val="0"/>
                <w:sz w:val="21"/>
                <w:szCs w:val="21"/>
                <w:shd w:val="clear" w:fill="FFFFFF"/>
              </w:rPr>
              <w:t>≥</w:t>
            </w:r>
            <w:r>
              <w:rPr>
                <w:rFonts w:hint="eastAsia" w:ascii="宋体" w:hAnsi="宋体" w:eastAsia="宋体" w:cs="宋体"/>
                <w:i w:val="0"/>
                <w:iCs w:val="0"/>
                <w:caps w:val="0"/>
                <w:color w:val="333333"/>
                <w:spacing w:val="0"/>
                <w:sz w:val="21"/>
                <w:szCs w:val="21"/>
                <w:shd w:val="clear" w:fill="FFFFFF"/>
              </w:rPr>
              <w:t>95%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w:t>
            </w: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1340" w:type="dxa"/>
            <w:vMerge w:val="continue"/>
            <w:tcBorders>
              <w:left w:val="single" w:color="000000" w:sz="4" w:space="0"/>
              <w:right w:val="single" w:color="000000" w:sz="4" w:space="0"/>
            </w:tcBorders>
            <w:shd w:val="clear" w:color="auto" w:fill="auto"/>
            <w:vAlign w:val="center"/>
          </w:tcPr>
          <w:p>
            <w:pPr>
              <w:ind w:left="0" w:leftChars="0"/>
              <w:jc w:val="center"/>
              <w:rPr>
                <w:rFonts w:hint="eastAsia" w:ascii="宋体" w:hAnsi="宋体" w:eastAsia="宋体" w:cs="宋体"/>
                <w:i w:val="0"/>
                <w:iCs w:val="0"/>
                <w:color w:val="000000"/>
                <w:sz w:val="21"/>
                <w:szCs w:val="21"/>
                <w:u w:val="none"/>
              </w:rPr>
            </w:pPr>
          </w:p>
        </w:tc>
        <w:tc>
          <w:tcPr>
            <w:tcW w:w="73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满意度指标</w:t>
            </w:r>
          </w:p>
        </w:tc>
        <w:tc>
          <w:tcPr>
            <w:tcW w:w="11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满意度</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r>
              <w:rPr>
                <w:rFonts w:ascii="Arial" w:hAnsi="Arial" w:eastAsia="宋体" w:cs="Arial"/>
                <w:i w:val="0"/>
                <w:iCs w:val="0"/>
                <w:caps w:val="0"/>
                <w:color w:val="333333"/>
                <w:spacing w:val="0"/>
                <w:sz w:val="21"/>
                <w:szCs w:val="21"/>
                <w:shd w:val="clear" w:fill="FFFFFF"/>
              </w:rPr>
              <w:t>≥</w:t>
            </w:r>
            <w:r>
              <w:rPr>
                <w:rFonts w:hint="eastAsia" w:ascii="宋体" w:hAnsi="宋体" w:eastAsia="宋体" w:cs="宋体"/>
                <w:i w:val="0"/>
                <w:iCs w:val="0"/>
                <w:caps w:val="0"/>
                <w:color w:val="333333"/>
                <w:spacing w:val="0"/>
                <w:sz w:val="21"/>
                <w:szCs w:val="21"/>
                <w:shd w:val="clear" w:fill="FFFFFF"/>
              </w:rPr>
              <w:t>95%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w:t>
            </w: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3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总分</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100</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default" w:ascii="宋体" w:hAnsi="宋体" w:eastAsia="宋体" w:cs="宋体"/>
                <w:i w:val="0"/>
                <w:iCs w:val="0"/>
                <w:color w:val="000000"/>
                <w:sz w:val="21"/>
                <w:szCs w:val="21"/>
                <w:u w:val="none"/>
                <w:lang w:val="en-US"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default" w:ascii="宋体" w:hAnsi="宋体" w:eastAsia="宋体" w:cs="宋体"/>
                <w:i w:val="0"/>
                <w:iCs w:val="0"/>
                <w:color w:val="000000"/>
                <w:sz w:val="21"/>
                <w:szCs w:val="21"/>
                <w:u w:val="none"/>
                <w:lang w:val="en-US" w:eastAsia="zh-CN"/>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default" w:ascii="宋体" w:hAnsi="宋体" w:eastAsia="宋体" w:cs="宋体"/>
                <w:i w:val="0"/>
                <w:iCs w:val="0"/>
                <w:color w:val="000000"/>
                <w:sz w:val="21"/>
                <w:szCs w:val="21"/>
                <w:u w:val="none"/>
                <w:lang w:val="en-US" w:eastAsia="zh-CN"/>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5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jc w:val="center"/>
              <w:textAlignment w:val="center"/>
              <w:rPr>
                <w:rFonts w:hint="eastAsia" w:ascii="宋体" w:hAnsi="宋体" w:eastAsia="宋体" w:cs="宋体"/>
                <w:i w:val="0"/>
                <w:iCs w:val="0"/>
                <w:color w:val="000000"/>
                <w:sz w:val="21"/>
                <w:szCs w:val="21"/>
                <w:u w:val="none"/>
              </w:rPr>
            </w:pPr>
          </w:p>
        </w:tc>
        <w:tc>
          <w:tcPr>
            <w:tcW w:w="25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jc w:val="center"/>
              <w:rPr>
                <w:rFonts w:hint="default" w:ascii="宋体" w:hAnsi="宋体" w:eastAsia="宋体" w:cs="宋体"/>
                <w:i w:val="0"/>
                <w:iCs w:val="0"/>
                <w:color w:val="000000"/>
                <w:sz w:val="21"/>
                <w:szCs w:val="21"/>
                <w:u w:val="none"/>
                <w:lang w:val="en-US" w:eastAsia="zh-CN"/>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20" w:firstLineChars="200"/>
        <w:jc w:val="left"/>
        <w:rPr>
          <w:rFonts w:ascii="微软雅黑" w:hAnsi="微软雅黑" w:eastAsia="微软雅黑" w:cs="微软雅黑"/>
          <w:i w:val="0"/>
          <w:iCs w:val="0"/>
          <w:caps w:val="0"/>
          <w:color w:val="333333"/>
          <w:spacing w:val="0"/>
          <w:sz w:val="24"/>
          <w:szCs w:val="24"/>
        </w:rPr>
      </w:pPr>
      <w:r>
        <w:rPr>
          <w:rFonts w:ascii="仿宋_GB2312" w:hAnsi="微软雅黑" w:eastAsia="仿宋_GB2312" w:cs="仿宋_GB2312"/>
          <w:i w:val="0"/>
          <w:iCs w:val="0"/>
          <w:caps w:val="0"/>
          <w:color w:val="333333"/>
          <w:spacing w:val="0"/>
          <w:sz w:val="31"/>
          <w:szCs w:val="31"/>
          <w:shd w:val="clear" w:fill="FFFFFF"/>
        </w:rPr>
        <w:t>2. </w:t>
      </w:r>
      <w:r>
        <w:rPr>
          <w:rFonts w:hint="default" w:ascii="仿宋_GB2312" w:hAnsi="微软雅黑" w:eastAsia="仿宋_GB2312" w:cs="仿宋_GB2312"/>
          <w:i w:val="0"/>
          <w:iCs w:val="0"/>
          <w:caps w:val="0"/>
          <w:color w:val="333333"/>
          <w:spacing w:val="0"/>
          <w:sz w:val="31"/>
          <w:szCs w:val="31"/>
          <w:shd w:val="clear" w:fill="FFFFFF"/>
        </w:rPr>
        <w:t>绩效自评报告或案例</w:t>
      </w:r>
      <w:r>
        <w:rPr>
          <w:rFonts w:ascii="仿宋" w:hAnsi="仿宋" w:eastAsia="仿宋" w:cs="仿宋"/>
          <w:i w:val="0"/>
          <w:iCs w:val="0"/>
          <w:caps w:val="0"/>
          <w:color w:val="333333"/>
          <w:spacing w:val="0"/>
          <w:sz w:val="31"/>
          <w:szCs w:val="3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sz w:val="32"/>
          <w:szCs w:val="32"/>
        </w:rPr>
      </w:pPr>
      <w:r>
        <w:rPr>
          <w:rFonts w:hint="eastAsia" w:ascii="仿宋" w:hAnsi="仿宋" w:eastAsia="仿宋" w:cs="仿宋"/>
          <w:i w:val="0"/>
          <w:iCs w:val="0"/>
          <w:caps w:val="0"/>
          <w:color w:val="333333"/>
          <w:spacing w:val="0"/>
          <w:sz w:val="31"/>
          <w:szCs w:val="31"/>
          <w:shd w:val="clear" w:fill="FFFFFF"/>
        </w:rPr>
        <w:t>按照财政部门通知精神，预算绩效目标编审已成为预算编审的前置环节，今后绩效目标将作为预算编制、执行、审计的约束性条件，与预算编制、执行、监督有机融合，进一步提高预算编制的科学性、合理性和规范性。</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（三）重点绩效评价结果</w:t>
      </w:r>
    </w:p>
    <w:p>
      <w:pPr>
        <w:rPr>
          <w:rFonts w:ascii="仿宋_GB2312" w:hAnsi="宋体" w:eastAsia="仿宋_GB2312" w:cs="仿宋_GB2312"/>
          <w:color w:val="333333"/>
          <w:kern w:val="0"/>
          <w:sz w:val="31"/>
          <w:szCs w:val="31"/>
          <w:shd w:val="clear" w:color="auto" w:fill="FFFFFF"/>
        </w:rPr>
      </w:pPr>
      <w:r>
        <w:rPr>
          <w:rFonts w:hint="eastAsia" w:ascii="仿宋" w:hAnsi="仿宋" w:eastAsia="仿宋" w:cs="仿宋"/>
          <w:sz w:val="32"/>
          <w:szCs w:val="32"/>
        </w:rPr>
        <w:t xml:space="preserve">    </w:t>
      </w:r>
      <w:r>
        <w:rPr>
          <w:rFonts w:hint="eastAsia" w:ascii="仿宋_GB2312" w:hAnsi="宋体" w:eastAsia="仿宋_GB2312" w:cs="仿宋_GB2312"/>
          <w:color w:val="333333"/>
          <w:kern w:val="0"/>
          <w:sz w:val="31"/>
          <w:szCs w:val="31"/>
          <w:shd w:val="clear" w:color="auto" w:fill="FFFFFF"/>
        </w:rPr>
        <w:t>总体自评结果良好，项目立项程序完整、规范、设置了明确的绩效目标，财务相关制度健全，预算执行及时、有效，活动展开及时有效，基本实现了预期。虽然项目支出绩效管理的重视程度进一步提升，大部分项目有序开展，执行和完成情况良好，资金使用比较规范，但也存在不足之处，部分目标设置有待进一步优化，部分项目产出指标低于预期项目实施进展慢等问题。</w:t>
      </w:r>
    </w:p>
    <w:p>
      <w:pPr>
        <w:spacing w:line="56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九、名词解释</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财政拨款收入：</w:t>
      </w:r>
      <w:r>
        <w:rPr>
          <w:rFonts w:hint="eastAsia" w:ascii="仿宋" w:hAnsi="仿宋" w:eastAsia="仿宋" w:cs="仿宋"/>
          <w:sz w:val="32"/>
          <w:szCs w:val="32"/>
        </w:rPr>
        <w:t>指本年度从本级财政部门取得的财政拨款，包括一般公共预算财政拨款和政府性基金预算财政拨款。</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事业收入：</w:t>
      </w:r>
      <w:r>
        <w:rPr>
          <w:rFonts w:hint="eastAsia" w:ascii="仿宋" w:hAnsi="仿宋" w:eastAsia="仿宋" w:cs="仿宋"/>
          <w:sz w:val="32"/>
          <w:szCs w:val="32"/>
        </w:rPr>
        <w:t>指事业单位开展专业业务活动及其辅助活动取得的现金流入；事业单位收到的财政专户实际核拨的教育收费等资金在此反映。</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经营收入：</w:t>
      </w:r>
      <w:r>
        <w:rPr>
          <w:rFonts w:hint="eastAsia" w:ascii="仿宋" w:hAnsi="仿宋" w:eastAsia="仿宋" w:cs="仿宋"/>
          <w:sz w:val="32"/>
          <w:szCs w:val="32"/>
        </w:rPr>
        <w:t>指事业单位在专业业务活动及其辅助活动之外开展非独立核算经营活动取得的现金流入。</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其他收入：</w:t>
      </w:r>
      <w:r>
        <w:rPr>
          <w:rFonts w:hint="eastAsia" w:ascii="仿宋" w:hAnsi="仿宋" w:eastAsia="仿宋" w:cs="仿宋"/>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用事业基金弥补收支差额：</w:t>
      </w:r>
      <w:r>
        <w:rPr>
          <w:rFonts w:hint="eastAsia" w:ascii="仿宋" w:hAnsi="仿宋" w:eastAsia="仿宋" w:cs="仿宋"/>
          <w:sz w:val="32"/>
          <w:szCs w:val="32"/>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年初结转和结余：</w:t>
      </w:r>
      <w:r>
        <w:rPr>
          <w:rFonts w:hint="eastAsia" w:ascii="仿宋" w:hAnsi="仿宋" w:eastAsia="仿宋" w:cs="仿宋"/>
          <w:sz w:val="32"/>
          <w:szCs w:val="32"/>
        </w:rPr>
        <w:t>指单位上年结转本年使用的基本支出结转、项目支出结转和结余、经营结余。</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结余分配：</w:t>
      </w:r>
      <w:r>
        <w:rPr>
          <w:rFonts w:hint="eastAsia" w:ascii="仿宋" w:hAnsi="仿宋" w:eastAsia="仿宋" w:cs="仿宋"/>
          <w:sz w:val="32"/>
          <w:szCs w:val="32"/>
        </w:rPr>
        <w:t>指单位按照国家有关规定，缴纳所得税、提取专用基金、转入事业基金等当年结余的分配情况。</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8.</w:t>
      </w:r>
      <w:r>
        <w:rPr>
          <w:rFonts w:hint="eastAsia" w:ascii="仿宋" w:hAnsi="仿宋" w:eastAsia="仿宋" w:cs="仿宋"/>
          <w:b/>
          <w:bCs/>
          <w:sz w:val="32"/>
          <w:szCs w:val="32"/>
        </w:rPr>
        <w:t>年末结转和结余：</w:t>
      </w:r>
      <w:r>
        <w:rPr>
          <w:rFonts w:hint="eastAsia" w:ascii="仿宋" w:hAnsi="仿宋" w:eastAsia="仿宋" w:cs="仿宋"/>
          <w:sz w:val="32"/>
          <w:szCs w:val="32"/>
        </w:rPr>
        <w:t>指单位结转下年的基本支出结转、项目支出结转和结余、经营结余。</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基本支出：</w:t>
      </w:r>
      <w:r>
        <w:rPr>
          <w:rFonts w:hint="eastAsia" w:ascii="仿宋" w:hAnsi="仿宋" w:eastAsia="仿宋" w:cs="仿宋"/>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10.</w:t>
      </w:r>
      <w:r>
        <w:rPr>
          <w:rFonts w:hint="eastAsia" w:ascii="仿宋" w:hAnsi="仿宋" w:eastAsia="仿宋" w:cs="仿宋"/>
          <w:b/>
          <w:bCs/>
          <w:sz w:val="32"/>
          <w:szCs w:val="32"/>
        </w:rPr>
        <w:t>项目支出：</w:t>
      </w:r>
      <w:r>
        <w:rPr>
          <w:rFonts w:hint="eastAsia" w:ascii="仿宋" w:hAnsi="仿宋" w:eastAsia="仿宋" w:cs="仿宋"/>
          <w:sz w:val="32"/>
          <w:szCs w:val="32"/>
        </w:rPr>
        <w:t>指在基本支出之外为完成特定行政任务和事业发展目标所发生的支出。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一是</w:t>
      </w:r>
      <w:r>
        <w:rPr>
          <w:rFonts w:hint="eastAsia" w:ascii="仿宋" w:hAnsi="仿宋" w:eastAsia="仿宋" w:cs="仿宋"/>
          <w:sz w:val="32"/>
          <w:szCs w:val="32"/>
        </w:rPr>
        <w:t>经营支出：指事业单位在专业业务活动及其辅助活动之外开展非独立核算经营活动发生的支出。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11.</w:t>
      </w:r>
      <w:r>
        <w:rPr>
          <w:rFonts w:hint="eastAsia" w:ascii="仿宋" w:hAnsi="仿宋" w:eastAsia="仿宋" w:cs="仿宋"/>
          <w:b/>
          <w:bCs/>
          <w:sz w:val="32"/>
          <w:szCs w:val="32"/>
        </w:rPr>
        <w:t>机关运行经费：</w:t>
      </w:r>
      <w:r>
        <w:rPr>
          <w:rFonts w:hint="eastAsia" w:ascii="仿宋" w:hAnsi="仿宋" w:eastAsia="仿宋" w:cs="仿宋"/>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一是</w:t>
      </w:r>
      <w:r>
        <w:rPr>
          <w:rFonts w:hint="eastAsia" w:ascii="仿宋" w:hAnsi="仿宋" w:eastAsia="仿宋" w:cs="仿宋"/>
          <w:sz w:val="32"/>
          <w:szCs w:val="32"/>
        </w:rPr>
        <w:t>工资福利支出（支出经济分类科目类级）：反映单位开支的在职职工和编制外长期聘用人员的各类劳动报酬，以及为上述人员缴纳的各项社会保险费等。</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二是</w:t>
      </w:r>
      <w:r>
        <w:rPr>
          <w:rFonts w:hint="eastAsia" w:ascii="仿宋" w:hAnsi="仿宋" w:eastAsia="仿宋" w:cs="仿宋"/>
          <w:sz w:val="32"/>
          <w:szCs w:val="32"/>
        </w:rPr>
        <w:t>商品和服务支出（支出经济分类科目类级）</w:t>
      </w:r>
      <w:r>
        <w:rPr>
          <w:rFonts w:hint="eastAsia" w:ascii="仿宋" w:hAnsi="仿宋" w:eastAsia="仿宋" w:cs="仿宋"/>
          <w:sz w:val="32"/>
          <w:szCs w:val="32"/>
        </w:rPr>
        <w:t>：反映单位购买商品和服务的支出（不包括用于购置固定资产的支出、战略性和应急储备支出）。</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12.</w:t>
      </w:r>
      <w:r>
        <w:rPr>
          <w:rFonts w:hint="eastAsia" w:ascii="仿宋" w:hAnsi="仿宋" w:eastAsia="仿宋" w:cs="仿宋"/>
          <w:b/>
          <w:bCs/>
          <w:sz w:val="32"/>
          <w:szCs w:val="32"/>
        </w:rPr>
        <w:t>对个人和家庭的补助（支出经济分类科目类级）：</w:t>
      </w:r>
      <w:r>
        <w:rPr>
          <w:rFonts w:hint="eastAsia" w:ascii="仿宋" w:hAnsi="仿宋" w:eastAsia="仿宋" w:cs="仿宋"/>
          <w:sz w:val="32"/>
          <w:szCs w:val="32"/>
        </w:rPr>
        <w:t>反映用于对个人和家庭的补助支出。</w:t>
      </w:r>
    </w:p>
    <w:p>
      <w:pPr>
        <w:rPr>
          <w:rFonts w:hint="eastAsia" w:ascii="仿宋" w:hAnsi="仿宋" w:eastAsia="仿宋" w:cs="仿宋"/>
          <w:sz w:val="32"/>
          <w:szCs w:val="32"/>
        </w:rPr>
      </w:pPr>
      <w:r>
        <w:rPr>
          <w:rFonts w:hint="eastAsia" w:ascii="仿宋" w:hAnsi="仿宋" w:eastAsia="仿宋" w:cs="仿宋"/>
          <w:b/>
          <w:bCs/>
          <w:sz w:val="32"/>
          <w:szCs w:val="32"/>
          <w:lang w:val="en-US" w:eastAsia="zh-CN"/>
        </w:rPr>
        <w:t>13.</w:t>
      </w:r>
      <w:r>
        <w:rPr>
          <w:rFonts w:hint="eastAsia" w:ascii="仿宋" w:hAnsi="仿宋" w:eastAsia="仿宋" w:cs="仿宋"/>
          <w:b/>
          <w:bCs/>
          <w:sz w:val="32"/>
          <w:szCs w:val="32"/>
        </w:rPr>
        <w:t>其他资本性支出（支出经济分类科目类级）：</w:t>
      </w:r>
      <w:r>
        <w:rPr>
          <w:rFonts w:hint="eastAsia" w:ascii="仿宋" w:hAnsi="仿宋" w:eastAsia="仿宋" w:cs="仿宋"/>
          <w:sz w:val="32"/>
          <w:szCs w:val="32"/>
        </w:rPr>
        <w:t>反映非各级发展与改革部门集中安排的用于购置固定资产、战略性和应急性储备、土地和无形资产，以及构建基础设施、大型修缮和财政支持企业更新改造所发生的支出。</w:t>
      </w:r>
    </w:p>
    <w:p>
      <w:pPr>
        <w:ind w:firstLine="1280" w:firstLineChars="400"/>
        <w:jc w:val="both"/>
        <w:rPr>
          <w:rFonts w:hint="eastAsia" w:ascii="黑体" w:hAnsi="黑体" w:eastAsia="黑体" w:cs="黑体"/>
          <w:b w:val="0"/>
          <w:bCs w:val="0"/>
          <w:sz w:val="32"/>
          <w:szCs w:val="32"/>
        </w:rPr>
      </w:pPr>
      <w:r>
        <w:rPr>
          <w:rFonts w:hint="eastAsia" w:ascii="黑体" w:hAnsi="黑体" w:eastAsia="黑体" w:cs="黑体"/>
          <w:b w:val="0"/>
          <w:bCs w:val="0"/>
          <w:sz w:val="32"/>
          <w:szCs w:val="32"/>
        </w:rPr>
        <w:t>第三部分 2024年部门预算公开表</w:t>
      </w:r>
    </w:p>
    <w:p>
      <w:pPr>
        <w:jc w:val="center"/>
        <w:rPr>
          <w:rFonts w:hint="eastAsia" w:ascii="黑体" w:hAnsi="黑体" w:eastAsia="黑体" w:cs="黑体"/>
          <w:b w:val="0"/>
          <w:bCs w:val="0"/>
          <w:sz w:val="32"/>
          <w:szCs w:val="32"/>
        </w:rPr>
      </w:pPr>
    </w:p>
    <w:p>
      <w:pPr>
        <w:rPr>
          <w:rFonts w:hint="eastAsia" w:ascii="仿宋" w:hAnsi="仿宋" w:eastAsia="仿宋" w:cs="仿宋"/>
          <w:sz w:val="32"/>
          <w:szCs w:val="32"/>
        </w:rPr>
      </w:pP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w:t>
      </w:r>
      <w:r>
        <w:rPr>
          <w:rFonts w:hint="eastAsia" w:ascii="仿宋_GB2312" w:hAnsi="仿宋" w:eastAsia="仿宋_GB2312"/>
          <w:b/>
          <w:bCs/>
          <w:color w:val="000000"/>
          <w:sz w:val="30"/>
          <w:szCs w:val="30"/>
        </w:rPr>
        <w:t>部门收支总体情况表</w:t>
      </w:r>
    </w:p>
    <w:p>
      <w:pP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drawing>
          <wp:inline distT="0" distB="0" distL="114300" distR="114300">
            <wp:extent cx="5267960" cy="3445510"/>
            <wp:effectExtent l="0" t="0" r="8890" b="2540"/>
            <wp:docPr id="12" name="图片 12" descr="微信图片_202403201202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40320120243(1)"/>
                    <pic:cNvPicPr>
                      <a:picLocks noChangeAspect="1"/>
                    </pic:cNvPicPr>
                  </pic:nvPicPr>
                  <pic:blipFill>
                    <a:blip r:embed="rId6"/>
                    <a:stretch>
                      <a:fillRect/>
                    </a:stretch>
                  </pic:blipFill>
                  <pic:spPr>
                    <a:xfrm>
                      <a:off x="0" y="0"/>
                      <a:ext cx="5267960" cy="3445510"/>
                    </a:xfrm>
                    <a:prstGeom prst="rect">
                      <a:avLst/>
                    </a:prstGeom>
                  </pic:spPr>
                </pic:pic>
              </a:graphicData>
            </a:graphic>
          </wp:inline>
        </w:drawing>
      </w:r>
    </w:p>
    <w:p>
      <w:pPr>
        <w:numPr>
          <w:ilvl w:val="0"/>
          <w:numId w:val="1"/>
        </w:numPr>
        <w:ind w:firstLine="602" w:firstLineChars="200"/>
        <w:rPr>
          <w:rFonts w:hint="eastAsia" w:ascii="仿宋" w:hAnsi="仿宋" w:eastAsia="仿宋" w:cs="仿宋"/>
          <w:b/>
          <w:bCs/>
          <w:sz w:val="32"/>
          <w:szCs w:val="32"/>
        </w:rPr>
      </w:pPr>
      <w:r>
        <w:rPr>
          <w:rFonts w:hint="eastAsia" w:ascii="仿宋_GB2312" w:hAnsi="仿宋" w:eastAsia="仿宋_GB2312"/>
          <w:b/>
          <w:bCs/>
          <w:color w:val="000000"/>
          <w:sz w:val="30"/>
          <w:szCs w:val="30"/>
        </w:rPr>
        <w:t>部门收入总体情况表</w:t>
      </w:r>
    </w:p>
    <w:p>
      <w:pPr>
        <w:numPr>
          <w:ilvl w:val="0"/>
          <w:numId w:val="0"/>
        </w:numP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drawing>
          <wp:inline distT="0" distB="0" distL="114300" distR="114300">
            <wp:extent cx="5273040" cy="3549015"/>
            <wp:effectExtent l="0" t="0" r="3810" b="13335"/>
            <wp:docPr id="13" name="图片 13" descr="微信图片_20240320123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微信图片_20240320123937"/>
                    <pic:cNvPicPr>
                      <a:picLocks noChangeAspect="1"/>
                    </pic:cNvPicPr>
                  </pic:nvPicPr>
                  <pic:blipFill>
                    <a:blip r:embed="rId7"/>
                    <a:stretch>
                      <a:fillRect/>
                    </a:stretch>
                  </pic:blipFill>
                  <pic:spPr>
                    <a:xfrm>
                      <a:off x="0" y="0"/>
                      <a:ext cx="5273040" cy="3549015"/>
                    </a:xfrm>
                    <a:prstGeom prst="rect">
                      <a:avLst/>
                    </a:prstGeom>
                  </pic:spPr>
                </pic:pic>
              </a:graphicData>
            </a:graphic>
          </wp:inline>
        </w:drawing>
      </w:r>
    </w:p>
    <w:p>
      <w:pPr>
        <w:numPr>
          <w:ilvl w:val="0"/>
          <w:numId w:val="1"/>
        </w:numPr>
        <w:ind w:left="0" w:leftChars="0" w:firstLine="602" w:firstLineChars="200"/>
        <w:rPr>
          <w:rFonts w:hint="eastAsia" w:ascii="仿宋" w:hAnsi="仿宋" w:eastAsia="仿宋" w:cs="仿宋"/>
          <w:b/>
          <w:bCs/>
          <w:sz w:val="32"/>
          <w:szCs w:val="32"/>
        </w:rPr>
      </w:pPr>
      <w:r>
        <w:rPr>
          <w:rFonts w:hint="eastAsia" w:ascii="仿宋_GB2312" w:hAnsi="仿宋" w:eastAsia="仿宋_GB2312"/>
          <w:b/>
          <w:bCs/>
          <w:color w:val="000000"/>
          <w:sz w:val="30"/>
          <w:szCs w:val="30"/>
        </w:rPr>
        <w:t>部门支出总体情况表</w:t>
      </w:r>
    </w:p>
    <w:p>
      <w:pPr>
        <w:numPr>
          <w:ilvl w:val="0"/>
          <w:numId w:val="0"/>
        </w:numP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drawing>
          <wp:inline distT="0" distB="0" distL="114300" distR="114300">
            <wp:extent cx="5271770" cy="1623060"/>
            <wp:effectExtent l="0" t="0" r="5080" b="15240"/>
            <wp:docPr id="14" name="图片 14" descr="微信图片_20240320124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微信图片_20240320124223"/>
                    <pic:cNvPicPr>
                      <a:picLocks noChangeAspect="1"/>
                    </pic:cNvPicPr>
                  </pic:nvPicPr>
                  <pic:blipFill>
                    <a:blip r:embed="rId8"/>
                    <a:stretch>
                      <a:fillRect/>
                    </a:stretch>
                  </pic:blipFill>
                  <pic:spPr>
                    <a:xfrm>
                      <a:off x="0" y="0"/>
                      <a:ext cx="5271770" cy="1623060"/>
                    </a:xfrm>
                    <a:prstGeom prst="rect">
                      <a:avLst/>
                    </a:prstGeom>
                  </pic:spPr>
                </pic:pic>
              </a:graphicData>
            </a:graphic>
          </wp:inline>
        </w:drawing>
      </w:r>
    </w:p>
    <w:p>
      <w:pPr>
        <w:numPr>
          <w:ilvl w:val="0"/>
          <w:numId w:val="1"/>
        </w:numPr>
        <w:ind w:left="0" w:leftChars="0" w:firstLine="602" w:firstLineChars="200"/>
        <w:rPr>
          <w:rFonts w:hint="eastAsia" w:ascii="仿宋" w:hAnsi="仿宋" w:eastAsia="仿宋" w:cs="仿宋"/>
          <w:b/>
          <w:bCs/>
          <w:sz w:val="32"/>
          <w:szCs w:val="32"/>
        </w:rPr>
      </w:pPr>
      <w:r>
        <w:rPr>
          <w:rFonts w:hint="eastAsia" w:ascii="仿宋_GB2312" w:hAnsi="仿宋" w:eastAsia="仿宋_GB2312"/>
          <w:b/>
          <w:bCs/>
          <w:color w:val="000000"/>
          <w:sz w:val="30"/>
          <w:szCs w:val="30"/>
        </w:rPr>
        <w:t>财政拨款收支总体情况表</w:t>
      </w:r>
    </w:p>
    <w:p>
      <w:pPr>
        <w:numPr>
          <w:ilvl w:val="0"/>
          <w:numId w:val="0"/>
        </w:numP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drawing>
          <wp:inline distT="0" distB="0" distL="114300" distR="114300">
            <wp:extent cx="5271135" cy="1642745"/>
            <wp:effectExtent l="0" t="0" r="5715" b="14605"/>
            <wp:docPr id="15" name="图片 15" descr="微信图片_20240320124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微信图片_20240320124554"/>
                    <pic:cNvPicPr>
                      <a:picLocks noChangeAspect="1"/>
                    </pic:cNvPicPr>
                  </pic:nvPicPr>
                  <pic:blipFill>
                    <a:blip r:embed="rId9"/>
                    <a:stretch>
                      <a:fillRect/>
                    </a:stretch>
                  </pic:blipFill>
                  <pic:spPr>
                    <a:xfrm>
                      <a:off x="0" y="0"/>
                      <a:ext cx="5271135" cy="1642745"/>
                    </a:xfrm>
                    <a:prstGeom prst="rect">
                      <a:avLst/>
                    </a:prstGeom>
                  </pic:spPr>
                </pic:pic>
              </a:graphicData>
            </a:graphic>
          </wp:inline>
        </w:drawing>
      </w:r>
    </w:p>
    <w:p>
      <w:pPr>
        <w:numPr>
          <w:ilvl w:val="0"/>
          <w:numId w:val="1"/>
        </w:numPr>
        <w:ind w:left="0" w:leftChars="0" w:firstLine="602" w:firstLineChars="200"/>
        <w:rPr>
          <w:rFonts w:hint="eastAsia" w:ascii="仿宋" w:hAnsi="仿宋" w:eastAsia="仿宋" w:cs="仿宋"/>
          <w:b/>
          <w:bCs/>
          <w:sz w:val="32"/>
          <w:szCs w:val="32"/>
        </w:rPr>
      </w:pPr>
      <w:r>
        <w:rPr>
          <w:rFonts w:hint="eastAsia" w:ascii="仿宋_GB2312" w:hAnsi="仿宋" w:eastAsia="仿宋_GB2312"/>
          <w:b/>
          <w:bCs/>
          <w:color w:val="000000"/>
          <w:sz w:val="30"/>
          <w:szCs w:val="30"/>
        </w:rPr>
        <w:t>财政拨款支出表</w:t>
      </w:r>
    </w:p>
    <w:p>
      <w:pPr>
        <w:numPr>
          <w:ilvl w:val="0"/>
          <w:numId w:val="0"/>
        </w:numP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drawing>
          <wp:inline distT="0" distB="0" distL="114300" distR="114300">
            <wp:extent cx="5265420" cy="1400175"/>
            <wp:effectExtent l="0" t="0" r="11430" b="9525"/>
            <wp:docPr id="16" name="图片 16" descr="微信图片_20240320124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微信图片_20240320124726"/>
                    <pic:cNvPicPr>
                      <a:picLocks noChangeAspect="1"/>
                    </pic:cNvPicPr>
                  </pic:nvPicPr>
                  <pic:blipFill>
                    <a:blip r:embed="rId10"/>
                    <a:stretch>
                      <a:fillRect/>
                    </a:stretch>
                  </pic:blipFill>
                  <pic:spPr>
                    <a:xfrm>
                      <a:off x="0" y="0"/>
                      <a:ext cx="5265420" cy="1400175"/>
                    </a:xfrm>
                    <a:prstGeom prst="rect">
                      <a:avLst/>
                    </a:prstGeom>
                  </pic:spPr>
                </pic:pic>
              </a:graphicData>
            </a:graphic>
          </wp:inline>
        </w:drawing>
      </w:r>
    </w:p>
    <w:p>
      <w:pPr>
        <w:numPr>
          <w:ilvl w:val="0"/>
          <w:numId w:val="1"/>
        </w:numPr>
        <w:ind w:left="0" w:leftChars="0" w:firstLine="602" w:firstLineChars="200"/>
        <w:rPr>
          <w:rFonts w:hint="eastAsia" w:ascii="仿宋" w:hAnsi="仿宋" w:eastAsia="仿宋" w:cs="仿宋"/>
          <w:b/>
          <w:bCs/>
          <w:sz w:val="32"/>
          <w:szCs w:val="32"/>
        </w:rPr>
      </w:pPr>
      <w:r>
        <w:rPr>
          <w:rFonts w:hint="eastAsia" w:ascii="仿宋_GB2312" w:hAnsi="仿宋" w:eastAsia="仿宋_GB2312"/>
          <w:b/>
          <w:bCs/>
          <w:color w:val="000000"/>
          <w:sz w:val="30"/>
          <w:szCs w:val="30"/>
        </w:rPr>
        <w:t>一般公共预算支出情况表</w:t>
      </w:r>
    </w:p>
    <w:p>
      <w:pPr>
        <w:numPr>
          <w:ilvl w:val="0"/>
          <w:numId w:val="0"/>
        </w:numP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drawing>
          <wp:inline distT="0" distB="0" distL="114300" distR="114300">
            <wp:extent cx="5268595" cy="1971675"/>
            <wp:effectExtent l="0" t="0" r="8255" b="9525"/>
            <wp:docPr id="17" name="图片 17" descr="微信图片_20240320124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微信图片_20240320124833"/>
                    <pic:cNvPicPr>
                      <a:picLocks noChangeAspect="1"/>
                    </pic:cNvPicPr>
                  </pic:nvPicPr>
                  <pic:blipFill>
                    <a:blip r:embed="rId11"/>
                    <a:stretch>
                      <a:fillRect/>
                    </a:stretch>
                  </pic:blipFill>
                  <pic:spPr>
                    <a:xfrm>
                      <a:off x="0" y="0"/>
                      <a:ext cx="5268595" cy="1971675"/>
                    </a:xfrm>
                    <a:prstGeom prst="rect">
                      <a:avLst/>
                    </a:prstGeom>
                  </pic:spPr>
                </pic:pic>
              </a:graphicData>
            </a:graphic>
          </wp:inline>
        </w:drawing>
      </w:r>
    </w:p>
    <w:p>
      <w:pPr>
        <w:numPr>
          <w:ilvl w:val="0"/>
          <w:numId w:val="1"/>
        </w:numPr>
        <w:ind w:left="0" w:leftChars="0" w:firstLine="602" w:firstLineChars="200"/>
        <w:rPr>
          <w:rFonts w:hint="eastAsia" w:ascii="仿宋" w:hAnsi="仿宋" w:eastAsia="仿宋" w:cs="仿宋"/>
          <w:b/>
          <w:bCs/>
          <w:sz w:val="32"/>
          <w:szCs w:val="32"/>
        </w:rPr>
      </w:pPr>
      <w:r>
        <w:rPr>
          <w:rFonts w:hint="eastAsia" w:ascii="仿宋_GB2312" w:hAnsi="仿宋" w:eastAsia="仿宋_GB2312"/>
          <w:b/>
          <w:bCs/>
          <w:color w:val="000000"/>
          <w:sz w:val="30"/>
          <w:szCs w:val="30"/>
        </w:rPr>
        <w:t>一般公共预算基本支出情况表</w:t>
      </w:r>
    </w:p>
    <w:p>
      <w:pPr>
        <w:numPr>
          <w:ilvl w:val="0"/>
          <w:numId w:val="0"/>
        </w:numP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drawing>
          <wp:inline distT="0" distB="0" distL="114300" distR="114300">
            <wp:extent cx="5272405" cy="2747645"/>
            <wp:effectExtent l="0" t="0" r="4445" b="14605"/>
            <wp:docPr id="18" name="图片 18" descr="微信图片_20240320125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微信图片_20240320125011"/>
                    <pic:cNvPicPr>
                      <a:picLocks noChangeAspect="1"/>
                    </pic:cNvPicPr>
                  </pic:nvPicPr>
                  <pic:blipFill>
                    <a:blip r:embed="rId12"/>
                    <a:stretch>
                      <a:fillRect/>
                    </a:stretch>
                  </pic:blipFill>
                  <pic:spPr>
                    <a:xfrm>
                      <a:off x="0" y="0"/>
                      <a:ext cx="5272405" cy="2747645"/>
                    </a:xfrm>
                    <a:prstGeom prst="rect">
                      <a:avLst/>
                    </a:prstGeom>
                  </pic:spPr>
                </pic:pic>
              </a:graphicData>
            </a:graphic>
          </wp:inline>
        </w:drawing>
      </w:r>
    </w:p>
    <w:p>
      <w:pPr>
        <w:numPr>
          <w:ilvl w:val="0"/>
          <w:numId w:val="1"/>
        </w:numPr>
        <w:ind w:left="0" w:leftChars="0" w:firstLine="522" w:firstLineChars="200"/>
        <w:rPr>
          <w:rFonts w:hint="eastAsia" w:ascii="仿宋_GB2312" w:hAnsi="仿宋" w:eastAsia="仿宋_GB2312"/>
          <w:b/>
          <w:bCs/>
          <w:color w:val="000000"/>
          <w:spacing w:val="-20"/>
          <w:sz w:val="30"/>
          <w:szCs w:val="30"/>
        </w:rPr>
      </w:pPr>
      <w:r>
        <w:rPr>
          <w:rFonts w:hint="eastAsia" w:ascii="仿宋_GB2312" w:hAnsi="仿宋" w:eastAsia="仿宋_GB2312"/>
          <w:b/>
          <w:bCs/>
          <w:color w:val="000000"/>
          <w:spacing w:val="-20"/>
          <w:sz w:val="30"/>
          <w:szCs w:val="30"/>
        </w:rPr>
        <w:t>一般公共预算财政拨款“三公”经费、会议费、培训费支出情况表</w:t>
      </w:r>
    </w:p>
    <w:p>
      <w:pPr>
        <w:numPr>
          <w:ilvl w:val="0"/>
          <w:numId w:val="0"/>
        </w:numP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drawing>
          <wp:inline distT="0" distB="0" distL="114300" distR="114300">
            <wp:extent cx="5271135" cy="1764030"/>
            <wp:effectExtent l="0" t="0" r="5715" b="7620"/>
            <wp:docPr id="19" name="图片 19" descr="微信图片_20240320125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微信图片_20240320125122"/>
                    <pic:cNvPicPr>
                      <a:picLocks noChangeAspect="1"/>
                    </pic:cNvPicPr>
                  </pic:nvPicPr>
                  <pic:blipFill>
                    <a:blip r:embed="rId13"/>
                    <a:stretch>
                      <a:fillRect/>
                    </a:stretch>
                  </pic:blipFill>
                  <pic:spPr>
                    <a:xfrm>
                      <a:off x="0" y="0"/>
                      <a:ext cx="5271135" cy="1764030"/>
                    </a:xfrm>
                    <a:prstGeom prst="rect">
                      <a:avLst/>
                    </a:prstGeom>
                  </pic:spPr>
                </pic:pic>
              </a:graphicData>
            </a:graphic>
          </wp:inline>
        </w:drawing>
      </w:r>
    </w:p>
    <w:p>
      <w:pPr>
        <w:numPr>
          <w:ilvl w:val="0"/>
          <w:numId w:val="1"/>
        </w:numPr>
        <w:ind w:left="0" w:leftChars="0" w:firstLine="602" w:firstLineChars="200"/>
        <w:rPr>
          <w:rFonts w:hint="eastAsia" w:ascii="仿宋" w:hAnsi="仿宋" w:eastAsia="仿宋" w:cs="仿宋"/>
          <w:b/>
          <w:bCs/>
          <w:sz w:val="32"/>
          <w:szCs w:val="32"/>
        </w:rPr>
      </w:pPr>
      <w:r>
        <w:rPr>
          <w:rFonts w:hint="eastAsia" w:ascii="仿宋_GB2312" w:hAnsi="仿宋" w:eastAsia="仿宋_GB2312"/>
          <w:b/>
          <w:bCs/>
          <w:color w:val="000000"/>
          <w:sz w:val="30"/>
          <w:szCs w:val="30"/>
        </w:rPr>
        <w:t>一般公共预算财政拨款机关运行经费表</w:t>
      </w:r>
    </w:p>
    <w:p>
      <w:pPr>
        <w:numPr>
          <w:ilvl w:val="0"/>
          <w:numId w:val="0"/>
        </w:numP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drawing>
          <wp:inline distT="0" distB="0" distL="114300" distR="114300">
            <wp:extent cx="5272405" cy="2199640"/>
            <wp:effectExtent l="0" t="0" r="4445" b="10160"/>
            <wp:docPr id="20" name="图片 20" descr="微信图片_20240320125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微信图片_20240320125258"/>
                    <pic:cNvPicPr>
                      <a:picLocks noChangeAspect="1"/>
                    </pic:cNvPicPr>
                  </pic:nvPicPr>
                  <pic:blipFill>
                    <a:blip r:embed="rId14"/>
                    <a:stretch>
                      <a:fillRect/>
                    </a:stretch>
                  </pic:blipFill>
                  <pic:spPr>
                    <a:xfrm>
                      <a:off x="0" y="0"/>
                      <a:ext cx="5272405" cy="2199640"/>
                    </a:xfrm>
                    <a:prstGeom prst="rect">
                      <a:avLst/>
                    </a:prstGeom>
                  </pic:spPr>
                </pic:pic>
              </a:graphicData>
            </a:graphic>
          </wp:inline>
        </w:drawing>
      </w:r>
    </w:p>
    <w:p>
      <w:pPr>
        <w:spacing w:line="560" w:lineRule="exact"/>
        <w:ind w:firstLine="602" w:firstLineChars="200"/>
        <w:jc w:val="left"/>
        <w:rPr>
          <w:rFonts w:ascii="仿宋_GB2312" w:hAnsi="仿宋" w:eastAsia="仿宋_GB2312"/>
          <w:b/>
          <w:bCs/>
          <w:color w:val="000000"/>
          <w:sz w:val="30"/>
          <w:szCs w:val="30"/>
        </w:rPr>
      </w:pPr>
      <w:r>
        <w:rPr>
          <w:rFonts w:hint="eastAsia" w:ascii="仿宋_GB2312" w:hAnsi="仿宋" w:eastAsia="仿宋_GB2312"/>
          <w:b/>
          <w:bCs/>
          <w:color w:val="000000"/>
          <w:sz w:val="30"/>
          <w:szCs w:val="30"/>
        </w:rPr>
        <w:t>十、政府性基金预算支出情况表</w:t>
      </w:r>
    </w:p>
    <w:p>
      <w:pPr>
        <w:spacing w:line="560" w:lineRule="exact"/>
        <w:ind w:firstLine="600" w:firstLineChars="200"/>
        <w:jc w:val="left"/>
        <w:rPr>
          <w:rFonts w:hint="eastAsia" w:ascii="仿宋_GB2312" w:hAnsi="仿宋" w:eastAsia="仿宋_GB2312"/>
          <w:color w:val="000000"/>
          <w:sz w:val="30"/>
          <w:szCs w:val="30"/>
        </w:rPr>
      </w:pPr>
    </w:p>
    <w:p>
      <w:pP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drawing>
          <wp:inline distT="0" distB="0" distL="114300" distR="114300">
            <wp:extent cx="5271770" cy="975995"/>
            <wp:effectExtent l="0" t="0" r="5080" b="14605"/>
            <wp:docPr id="28" name="图片 28" descr="微信图片_20240320125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微信图片_20240320125629"/>
                    <pic:cNvPicPr>
                      <a:picLocks noChangeAspect="1"/>
                    </pic:cNvPicPr>
                  </pic:nvPicPr>
                  <pic:blipFill>
                    <a:blip r:embed="rId15"/>
                    <a:stretch>
                      <a:fillRect/>
                    </a:stretch>
                  </pic:blipFill>
                  <pic:spPr>
                    <a:xfrm>
                      <a:off x="0" y="0"/>
                      <a:ext cx="5271770" cy="975995"/>
                    </a:xfrm>
                    <a:prstGeom prst="rect">
                      <a:avLst/>
                    </a:prstGeom>
                  </pic:spPr>
                </pic:pic>
              </a:graphicData>
            </a:graphic>
          </wp:inline>
        </w:drawing>
      </w:r>
    </w:p>
    <w:p>
      <w:pPr>
        <w:numPr>
          <w:numId w:val="0"/>
        </w:numPr>
        <w:ind w:firstLine="602" w:firstLineChars="200"/>
        <w:rPr>
          <w:rFonts w:hint="eastAsia" w:ascii="仿宋_GB2312" w:hAnsi="仿宋" w:eastAsia="仿宋_GB2312"/>
          <w:b/>
          <w:bCs/>
          <w:color w:val="000000"/>
          <w:sz w:val="30"/>
          <w:szCs w:val="30"/>
        </w:rPr>
      </w:pPr>
    </w:p>
    <w:p>
      <w:pPr>
        <w:numPr>
          <w:numId w:val="0"/>
        </w:numPr>
        <w:ind w:firstLine="602" w:firstLineChars="200"/>
        <w:rPr>
          <w:rFonts w:hint="eastAsia" w:ascii="仿宋" w:hAnsi="仿宋" w:eastAsia="仿宋" w:cs="仿宋"/>
          <w:b/>
          <w:bCs/>
          <w:sz w:val="32"/>
          <w:szCs w:val="32"/>
        </w:rPr>
      </w:pPr>
      <w:r>
        <w:rPr>
          <w:rFonts w:hint="eastAsia" w:ascii="仿宋_GB2312" w:hAnsi="仿宋" w:eastAsia="仿宋_GB2312"/>
          <w:b/>
          <w:bCs/>
          <w:color w:val="000000"/>
          <w:sz w:val="30"/>
          <w:szCs w:val="30"/>
        </w:rPr>
        <w:t>十</w:t>
      </w:r>
      <w:r>
        <w:rPr>
          <w:rFonts w:hint="eastAsia" w:ascii="仿宋_GB2312" w:hAnsi="仿宋" w:eastAsia="仿宋_GB2312"/>
          <w:b/>
          <w:bCs/>
          <w:color w:val="000000"/>
          <w:sz w:val="30"/>
          <w:szCs w:val="30"/>
          <w:lang w:val="en-US" w:eastAsia="zh-CN"/>
        </w:rPr>
        <w:t>一</w:t>
      </w:r>
      <w:r>
        <w:rPr>
          <w:rFonts w:hint="eastAsia" w:ascii="仿宋_GB2312" w:hAnsi="仿宋" w:eastAsia="仿宋_GB2312"/>
          <w:b/>
          <w:bCs/>
          <w:color w:val="000000"/>
          <w:sz w:val="30"/>
          <w:szCs w:val="30"/>
        </w:rPr>
        <w:t>、国有资本经营预算支出情况表</w:t>
      </w:r>
    </w:p>
    <w:p>
      <w:pPr>
        <w:numPr>
          <w:ilvl w:val="0"/>
          <w:numId w:val="0"/>
        </w:numP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drawing>
          <wp:inline distT="0" distB="0" distL="114300" distR="114300">
            <wp:extent cx="5274310" cy="977900"/>
            <wp:effectExtent l="0" t="0" r="2540" b="12700"/>
            <wp:docPr id="29" name="图片 29" descr="微信图片_2024032013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微信图片_20240320130201"/>
                    <pic:cNvPicPr>
                      <a:picLocks noChangeAspect="1"/>
                    </pic:cNvPicPr>
                  </pic:nvPicPr>
                  <pic:blipFill>
                    <a:blip r:embed="rId16"/>
                    <a:stretch>
                      <a:fillRect/>
                    </a:stretch>
                  </pic:blipFill>
                  <pic:spPr>
                    <a:xfrm>
                      <a:off x="0" y="0"/>
                      <a:ext cx="5274310" cy="977900"/>
                    </a:xfrm>
                    <a:prstGeom prst="rect">
                      <a:avLst/>
                    </a:prstGeom>
                  </pic:spPr>
                </pic:pic>
              </a:graphicData>
            </a:graphic>
          </wp:inline>
        </w:drawing>
      </w:r>
    </w:p>
    <w:p>
      <w:pPr>
        <w:jc w:val="center"/>
        <w:rPr>
          <w:rFonts w:hint="eastAsia" w:ascii="仿宋_GB2312" w:hAnsi="仿宋" w:eastAsia="仿宋_GB2312"/>
          <w:b/>
          <w:bCs/>
          <w:color w:val="000000"/>
          <w:sz w:val="30"/>
          <w:szCs w:val="30"/>
        </w:rPr>
      </w:pPr>
    </w:p>
    <w:p>
      <w:pPr>
        <w:jc w:val="center"/>
        <w:rPr>
          <w:rFonts w:hint="eastAsia" w:ascii="仿宋" w:hAnsi="仿宋" w:eastAsia="仿宋" w:cs="仿宋"/>
          <w:sz w:val="32"/>
          <w:szCs w:val="32"/>
        </w:rPr>
      </w:pPr>
      <w:r>
        <w:rPr>
          <w:rFonts w:hint="eastAsia" w:ascii="仿宋_GB2312" w:hAnsi="仿宋" w:eastAsia="仿宋_GB2312"/>
          <w:b/>
          <w:bCs/>
          <w:color w:val="000000"/>
          <w:sz w:val="30"/>
          <w:szCs w:val="30"/>
        </w:rPr>
        <w:t>十</w:t>
      </w:r>
      <w:r>
        <w:rPr>
          <w:rFonts w:hint="eastAsia" w:ascii="仿宋_GB2312" w:hAnsi="仿宋" w:eastAsia="仿宋_GB2312"/>
          <w:b/>
          <w:bCs/>
          <w:color w:val="000000"/>
          <w:sz w:val="30"/>
          <w:szCs w:val="30"/>
          <w:lang w:val="en-US" w:eastAsia="zh-CN"/>
        </w:rPr>
        <w:t>二</w:t>
      </w:r>
      <w:r>
        <w:rPr>
          <w:rFonts w:hint="eastAsia" w:ascii="仿宋_GB2312" w:hAnsi="仿宋" w:eastAsia="仿宋_GB2312"/>
          <w:b/>
          <w:bCs/>
          <w:color w:val="000000"/>
          <w:sz w:val="30"/>
          <w:szCs w:val="30"/>
        </w:rPr>
        <w:t>、部门整体支出绩效目标表和项目支出绩效目标表</w:t>
      </w:r>
    </w:p>
    <w:p>
      <w:pPr>
        <w:numPr>
          <w:ilvl w:val="0"/>
          <w:numId w:val="0"/>
        </w:numPr>
        <w:rPr>
          <w:rFonts w:hint="eastAsia" w:ascii="仿宋" w:hAnsi="仿宋" w:eastAsia="仿宋" w:cs="仿宋"/>
          <w:b/>
          <w:bCs/>
          <w:sz w:val="32"/>
          <w:szCs w:val="32"/>
          <w:lang w:eastAsia="zh-CN"/>
        </w:rPr>
      </w:pPr>
      <w:bookmarkStart w:id="0" w:name="_GoBack"/>
      <w:bookmarkEnd w:id="0"/>
      <w:r>
        <w:rPr>
          <w:rFonts w:hint="eastAsia" w:ascii="仿宋" w:hAnsi="仿宋" w:eastAsia="仿宋" w:cs="仿宋"/>
          <w:b/>
          <w:bCs/>
          <w:sz w:val="32"/>
          <w:szCs w:val="32"/>
          <w:lang w:eastAsia="zh-CN"/>
        </w:rPr>
        <w:drawing>
          <wp:inline distT="0" distB="0" distL="114300" distR="114300">
            <wp:extent cx="5274310" cy="4509770"/>
            <wp:effectExtent l="0" t="0" r="2540" b="5080"/>
            <wp:docPr id="30" name="图片 30" descr="微信图片_20240320130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微信图片_20240320130724"/>
                    <pic:cNvPicPr>
                      <a:picLocks noChangeAspect="1"/>
                    </pic:cNvPicPr>
                  </pic:nvPicPr>
                  <pic:blipFill>
                    <a:blip r:embed="rId17"/>
                    <a:stretch>
                      <a:fillRect/>
                    </a:stretch>
                  </pic:blipFill>
                  <pic:spPr>
                    <a:xfrm>
                      <a:off x="0" y="0"/>
                      <a:ext cx="5274310" cy="4509770"/>
                    </a:xfrm>
                    <a:prstGeom prst="rect">
                      <a:avLst/>
                    </a:prstGeom>
                  </pic:spPr>
                </pic:pic>
              </a:graphicData>
            </a:graphic>
          </wp:inline>
        </w:drawing>
      </w:r>
    </w:p>
    <w:p>
      <w:pPr>
        <w:jc w:val="center"/>
        <w:rPr>
          <w:rFonts w:hint="eastAsia" w:ascii="仿宋_GB2312" w:hAnsi="仿宋" w:eastAsia="仿宋_GB2312"/>
          <w:color w:val="00000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B11933"/>
    <w:multiLevelType w:val="singleLevel"/>
    <w:tmpl w:val="20B1193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kMzQzODYzNTg1MTlhMTBiZTJjYzZjMmZlMDA5NTUifQ=="/>
  </w:docVars>
  <w:rsids>
    <w:rsidRoot w:val="2B8C25FE"/>
    <w:rsid w:val="036A44B0"/>
    <w:rsid w:val="05EF279D"/>
    <w:rsid w:val="08461599"/>
    <w:rsid w:val="0DB66584"/>
    <w:rsid w:val="0E213113"/>
    <w:rsid w:val="10742D4F"/>
    <w:rsid w:val="15282FD9"/>
    <w:rsid w:val="176522C3"/>
    <w:rsid w:val="18EE62E8"/>
    <w:rsid w:val="1A8E14B0"/>
    <w:rsid w:val="24C525F3"/>
    <w:rsid w:val="2B8C25FE"/>
    <w:rsid w:val="2CE35D0C"/>
    <w:rsid w:val="2D200D0E"/>
    <w:rsid w:val="2DAC4728"/>
    <w:rsid w:val="2F9C21A2"/>
    <w:rsid w:val="31177D94"/>
    <w:rsid w:val="328513CE"/>
    <w:rsid w:val="32EC51EE"/>
    <w:rsid w:val="41A0082C"/>
    <w:rsid w:val="444C1F91"/>
    <w:rsid w:val="4BC43D6D"/>
    <w:rsid w:val="4F105AA4"/>
    <w:rsid w:val="4F1931A5"/>
    <w:rsid w:val="50EA500B"/>
    <w:rsid w:val="51363C22"/>
    <w:rsid w:val="55197C6D"/>
    <w:rsid w:val="583D0117"/>
    <w:rsid w:val="5B1F57D4"/>
    <w:rsid w:val="60932FCA"/>
    <w:rsid w:val="67B11F87"/>
    <w:rsid w:val="6D0D1A0E"/>
    <w:rsid w:val="6E7F06E9"/>
    <w:rsid w:val="6F796FC7"/>
    <w:rsid w:val="738A4391"/>
    <w:rsid w:val="78911745"/>
    <w:rsid w:val="78B47B29"/>
    <w:rsid w:val="7B9D48A5"/>
    <w:rsid w:val="7C52568F"/>
    <w:rsid w:val="7CC14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5297</Words>
  <Characters>5731</Characters>
  <Lines>0</Lines>
  <Paragraphs>0</Paragraphs>
  <TotalTime>3</TotalTime>
  <ScaleCrop>false</ScaleCrop>
  <LinksUpToDate>false</LinksUpToDate>
  <CharactersWithSpaces>5784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2023-07-06T03:59:00Z</dcterms:created>
  <dc:creator>闹心</dc:creator>
  <cp:lastModifiedBy>Administrator</cp:lastModifiedBy>
  <dcterms:modified xsi:type="dcterms:W3CDTF">2024-03-20T05:09:29Z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C65FAEDC2E52489883921F28E680F045_11</vt:lpwstr>
  </property>
</Properties>
</file>