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cs="宋体"/>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lang w:val="en-US" w:eastAsia="zh-CN"/>
        </w:rPr>
        <w:t>积石山保安族东乡族撒拉族自治县佛教协会</w:t>
      </w:r>
      <w:r>
        <w:rPr>
          <w:rFonts w:hint="eastAsia" w:ascii="宋体" w:hAnsi="宋体" w:cs="宋体"/>
          <w:b/>
          <w:bCs/>
          <w:kern w:val="0"/>
          <w:sz w:val="44"/>
          <w:szCs w:val="44"/>
        </w:rPr>
        <w:t xml:space="preserve">2024预算公开情况说明 </w:t>
      </w:r>
    </w:p>
    <w:p>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部门/单位基本概况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一、部门/单位职责</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2024年部门/单位预算情况说明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2024年部门（单位）预算公开表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二、部门/单位收入总体情况表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三、部门/单位支出总体情况表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一</w:t>
      </w:r>
      <w:r>
        <w:rPr>
          <w:rFonts w:hint="eastAsia" w:ascii="仿宋_GB2312" w:hAnsi="仿宋" w:eastAsia="仿宋_GB2312"/>
          <w:color w:val="000000"/>
          <w:sz w:val="30"/>
          <w:szCs w:val="30"/>
        </w:rPr>
        <w:t>、国有资本经营预算支出情况表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二</w:t>
      </w:r>
      <w:r>
        <w:rPr>
          <w:rFonts w:hint="eastAsia" w:ascii="仿宋_GB2312" w:hAnsi="仿宋" w:eastAsia="仿宋_GB2312"/>
          <w:color w:val="000000"/>
          <w:sz w:val="30"/>
          <w:szCs w:val="30"/>
        </w:rPr>
        <w:t>、部门/单位整体支出绩效目标表和项目支出绩效目标表</w:t>
      </w:r>
    </w:p>
    <w:p>
      <w:pPr>
        <w:spacing w:line="660" w:lineRule="exact"/>
        <w:jc w:val="center"/>
        <w:rPr>
          <w:rFonts w:ascii="仿宋_GB2312" w:hAnsi="宋体" w:eastAsia="仿宋_GB2312" w:cs="宋体"/>
          <w:b/>
          <w:bCs/>
          <w:kern w:val="0"/>
          <w:sz w:val="44"/>
          <w:szCs w:val="44"/>
        </w:rPr>
      </w:pPr>
    </w:p>
    <w:p>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甘肃省人民政府办公厅关于进一步推进预算公开工作的实施方案》要求，现将2024年部门预算公开如下：</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一、部门/单位职责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积石山县佛教协会为县人民政府直属的正科级建制的事业单位，2003年3月成立。核定事业编制9名，其中科级领导职数2名（1正1副），2023年底实有在职人员12人（在编9人、超编3人）。承担的职能：一是负责宗教团体、宗教院校、宗教活动场所、宗教教职人员在相互尊重、平等、友好的基础上开展对外交往；二是负责向各级人民政府反映信教公民的意见，协调宗教事务管理工作；三是负责制定宗教团体章程，按照章程开展活动，受法律保护。四是负责落实下列职能：（一）协助人民政府贯彻落实法律、法规、规章和政策，维护信教公民的合法权益；（二）指导宗教教务，制定规章制度并督促落实；（三）从事宗教文化研究，阐释宗教教义教规，开展宗教思想建设；（四）开展宗教教育培训，培养宗教教职人员，认定、管理宗教教职人员；（五）法律、法规、规章和宗教团体章程规定的其他职能。五是负责开展培养宗教教职人员；六是负责筹备设立宗教活动场所；七是负责审核宗教活动场所法人条件；八是负责审核上报在寺观教堂内修建大型露天宗教造像；九是负责认定宗教教职人员，指导藏传佛教活佛传承继位；十是负责审核宗教教职人员担任或者离任宗教活动场所主要教职；十一是负责按照规定为宗教教职人员办理社会保险登记；十二是负责指导或主持信教公民的集体宗教活动；十三是负责审核上报在宗教活动场所外举行大型宗教活动；十四是按照国家有关规定可以编印、发送宗教内部资料性出版物；十五是可以依法兴办公益慈善事业。十六是可以按照国家有关规定接受境内外组织和个人的捐赠，用于与其宗旨相符的活动；十七是负责对违规违法宗教教职人员暂停其主持教务活动或者取消其宗教教职人员身份。</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（二）参照公务员法管理单位</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按编制部门批复“三定”方案编写</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（三）直属事业单位</w:t>
      </w:r>
    </w:p>
    <w:p>
      <w:pPr>
        <w:spacing w:line="600" w:lineRule="exact"/>
        <w:ind w:firstLine="640" w:firstLineChars="200"/>
        <w:rPr>
          <w:rFonts w:ascii="黑体" w:hAnsi="黑体" w:eastAsia="黑体" w:cs="宋体"/>
          <w:kern w:val="0"/>
          <w:sz w:val="32"/>
          <w:szCs w:val="32"/>
        </w:rPr>
      </w:pPr>
      <w:r>
        <w:rPr>
          <w:rFonts w:hint="eastAsia" w:ascii="仿宋" w:hAnsi="仿宋" w:eastAsia="仿宋" w:cs="仿宋"/>
          <w:b w:val="0"/>
          <w:bCs/>
          <w:sz w:val="32"/>
          <w:szCs w:val="32"/>
          <w:lang w:val="en-US" w:eastAsia="zh-CN"/>
        </w:rPr>
        <w:t>设人秘股、信访股、宣教股，共有职工 12人，财政拨款 12人。</w:t>
      </w:r>
      <w:r>
        <w:rPr>
          <w:rFonts w:hint="eastAsia" w:ascii="黑体" w:hAnsi="黑体" w:eastAsia="黑体" w:cs="宋体"/>
          <w:kern w:val="0"/>
          <w:sz w:val="32"/>
          <w:szCs w:val="32"/>
        </w:rPr>
        <w:t>三、部门/单位收支总体情况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按照预算管理有关规定，2024年部门（单位）收支包括机关预算和直属单位预算在内的汇总情况。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2024年部门收支总预算</w:t>
      </w:r>
      <w:r>
        <w:rPr>
          <w:rFonts w:hint="eastAsia" w:ascii="仿宋_GB2312" w:hAnsi="仿宋" w:eastAsia="仿宋_GB2312" w:cs="宋体"/>
          <w:kern w:val="0"/>
          <w:sz w:val="32"/>
          <w:szCs w:val="32"/>
          <w:lang w:val="en-US" w:eastAsia="zh-CN"/>
        </w:rPr>
        <w:t>205.09</w:t>
      </w:r>
      <w:r>
        <w:rPr>
          <w:rFonts w:hint="eastAsia" w:ascii="仿宋_GB2312" w:hAnsi="仿宋" w:eastAsia="仿宋_GB2312" w:cs="宋体"/>
          <w:kern w:val="0"/>
          <w:sz w:val="32"/>
          <w:szCs w:val="32"/>
        </w:rPr>
        <w:t>万元。按照综合预算的原则，部门（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2024年收入预算 </w:t>
      </w:r>
      <w:r>
        <w:rPr>
          <w:rFonts w:hint="eastAsia" w:ascii="仿宋_GB2312" w:hAnsi="仿宋" w:eastAsia="仿宋_GB2312"/>
          <w:sz w:val="32"/>
          <w:szCs w:val="32"/>
          <w:lang w:val="en-US" w:eastAsia="zh-CN"/>
        </w:rPr>
        <w:t>205.09</w:t>
      </w:r>
      <w:r>
        <w:rPr>
          <w:rFonts w:hint="eastAsia" w:ascii="仿宋_GB2312" w:hAnsi="仿宋" w:eastAsia="仿宋_GB2312"/>
          <w:sz w:val="32"/>
          <w:szCs w:val="32"/>
        </w:rPr>
        <w:t>万元（详见部门/单位预算公开表1,2）。包括：</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sz w:val="32"/>
          <w:szCs w:val="32"/>
          <w:lang w:val="en-US" w:eastAsia="zh-CN"/>
        </w:rPr>
        <w:t>205.09</w:t>
      </w:r>
      <w:r>
        <w:rPr>
          <w:rFonts w:hint="eastAsia" w:ascii="仿宋_GB2312" w:hAnsi="仿宋" w:eastAsia="仿宋_GB2312"/>
          <w:sz w:val="32"/>
          <w:szCs w:val="32"/>
        </w:rPr>
        <w:t xml:space="preserve"> 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政府性基金预算收入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上年结转收入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其他收入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2024年支出预算 </w:t>
      </w:r>
      <w:r>
        <w:rPr>
          <w:rFonts w:hint="eastAsia" w:ascii="仿宋_GB2312" w:hAnsi="仿宋" w:eastAsia="仿宋_GB2312"/>
          <w:sz w:val="32"/>
          <w:szCs w:val="32"/>
          <w:lang w:val="en-US" w:eastAsia="zh-CN"/>
        </w:rPr>
        <w:t>205.09</w:t>
      </w:r>
      <w:r>
        <w:rPr>
          <w:rFonts w:hint="eastAsia" w:ascii="仿宋_GB2312" w:hAnsi="仿宋" w:eastAsia="仿宋_GB2312"/>
          <w:sz w:val="32"/>
          <w:szCs w:val="32"/>
        </w:rPr>
        <w:t>万元（详见部门/单位预算公开表3）。</w:t>
      </w:r>
      <w:r>
        <w:rPr>
          <w:rStyle w:val="20"/>
          <w:rFonts w:hint="default" w:hAnsi="仿宋"/>
        </w:rPr>
        <w:t>其中：基本支出</w:t>
      </w:r>
      <w:r>
        <w:rPr>
          <w:rStyle w:val="21"/>
          <w:rFonts w:hint="eastAsia" w:ascii="仿宋_GB2312" w:hAnsi="仿宋" w:eastAsia="仿宋_GB2312"/>
          <w:lang w:val="en-US" w:eastAsia="zh-CN"/>
        </w:rPr>
        <w:t>205.09</w:t>
      </w:r>
      <w:r>
        <w:rPr>
          <w:rStyle w:val="21"/>
          <w:rFonts w:hint="eastAsia" w:ascii="仿宋_GB2312" w:hAnsi="仿宋" w:eastAsia="仿宋_GB2312"/>
        </w:rPr>
        <w:t xml:space="preserve"> </w:t>
      </w:r>
      <w:r>
        <w:rPr>
          <w:rStyle w:val="20"/>
          <w:rFonts w:hint="default" w:hAnsi="仿宋"/>
        </w:rPr>
        <w:t>万元， 占</w:t>
      </w:r>
      <w:r>
        <w:rPr>
          <w:rStyle w:val="21"/>
          <w:rFonts w:hint="eastAsia" w:ascii="仿宋_GB2312" w:hAnsi="仿宋" w:eastAsia="仿宋_GB2312"/>
          <w:lang w:val="en-US" w:eastAsia="zh-CN"/>
        </w:rPr>
        <w:t>100</w:t>
      </w:r>
      <w:r>
        <w:rPr>
          <w:rStyle w:val="21"/>
          <w:rFonts w:hint="eastAsia" w:ascii="仿宋_GB2312" w:hAnsi="仿宋" w:eastAsia="仿宋_GB2312"/>
        </w:rPr>
        <w:t xml:space="preserve"> %</w:t>
      </w:r>
      <w:r>
        <w:rPr>
          <w:rStyle w:val="20"/>
          <w:rFonts w:hint="default" w:hAnsi="仿宋"/>
        </w:rPr>
        <w:t xml:space="preserve">； 项目支出 </w:t>
      </w:r>
      <w:r>
        <w:rPr>
          <w:rStyle w:val="21"/>
          <w:rFonts w:hint="eastAsia" w:ascii="仿宋_GB2312" w:hAnsi="仿宋" w:eastAsia="仿宋_GB2312"/>
        </w:rPr>
        <w:t xml:space="preserve"> </w:t>
      </w:r>
      <w:r>
        <w:rPr>
          <w:rStyle w:val="21"/>
          <w:rFonts w:hint="eastAsia" w:ascii="仿宋_GB2312" w:hAnsi="仿宋" w:eastAsia="仿宋_GB2312"/>
          <w:lang w:val="en-US" w:eastAsia="zh-CN"/>
        </w:rPr>
        <w:t>0</w:t>
      </w:r>
      <w:r>
        <w:rPr>
          <w:rStyle w:val="21"/>
          <w:rFonts w:hint="eastAsia" w:ascii="仿宋_GB2312" w:hAnsi="仿宋" w:eastAsia="仿宋_GB2312"/>
        </w:rPr>
        <w:t xml:space="preserve">  </w:t>
      </w:r>
      <w:r>
        <w:rPr>
          <w:rStyle w:val="20"/>
          <w:rFonts w:hint="default" w:hAnsi="仿宋"/>
        </w:rPr>
        <w:t>万元，占</w:t>
      </w:r>
      <w:r>
        <w:rPr>
          <w:rStyle w:val="21"/>
          <w:rFonts w:hint="eastAsia" w:ascii="仿宋_GB2312" w:hAnsi="仿宋" w:eastAsia="仿宋_GB2312"/>
        </w:rPr>
        <w:t xml:space="preserve"> </w:t>
      </w:r>
      <w:r>
        <w:rPr>
          <w:rStyle w:val="21"/>
          <w:rFonts w:hint="eastAsia" w:ascii="仿宋_GB2312" w:hAnsi="仿宋" w:eastAsia="仿宋_GB2312"/>
          <w:lang w:val="en-US" w:eastAsia="zh-CN"/>
        </w:rPr>
        <w:t>0</w:t>
      </w:r>
      <w:r>
        <w:rPr>
          <w:rStyle w:val="21"/>
          <w:rFonts w:hint="eastAsia" w:ascii="仿宋_GB2312" w:hAnsi="仿宋" w:eastAsia="仿宋_GB2312"/>
        </w:rPr>
        <w:t xml:space="preserve">  %</w:t>
      </w:r>
      <w:r>
        <w:rPr>
          <w:rStyle w:val="20"/>
          <w:rFonts w:hint="default" w:hAnsi="仿宋"/>
        </w:rPr>
        <w:t>； 上年结转</w:t>
      </w:r>
      <w:r>
        <w:rPr>
          <w:rStyle w:val="21"/>
          <w:rFonts w:hint="eastAsia" w:ascii="仿宋_GB2312" w:hAnsi="仿宋" w:eastAsia="仿宋_GB2312"/>
        </w:rPr>
        <w:t xml:space="preserve">  </w:t>
      </w:r>
      <w:r>
        <w:rPr>
          <w:rStyle w:val="21"/>
          <w:rFonts w:hint="eastAsia" w:ascii="仿宋_GB2312" w:hAnsi="仿宋" w:eastAsia="仿宋_GB2312"/>
          <w:lang w:val="en-US" w:eastAsia="zh-CN"/>
        </w:rPr>
        <w:t>0</w:t>
      </w:r>
      <w:r>
        <w:rPr>
          <w:rStyle w:val="21"/>
          <w:rFonts w:hint="eastAsia" w:ascii="仿宋_GB2312" w:hAnsi="仿宋" w:eastAsia="仿宋_GB2312"/>
        </w:rPr>
        <w:t xml:space="preserve">  </w:t>
      </w:r>
      <w:r>
        <w:rPr>
          <w:rStyle w:val="20"/>
          <w:rFonts w:hint="default" w:hAnsi="仿宋"/>
        </w:rPr>
        <w:t>万元， 占</w:t>
      </w:r>
      <w:r>
        <w:rPr>
          <w:rStyle w:val="21"/>
          <w:rFonts w:hint="eastAsia" w:ascii="仿宋_GB2312" w:hAnsi="仿宋" w:eastAsia="仿宋_GB2312"/>
        </w:rPr>
        <w:t xml:space="preserve"> </w:t>
      </w:r>
      <w:r>
        <w:rPr>
          <w:rStyle w:val="21"/>
          <w:rFonts w:hint="eastAsia" w:ascii="仿宋_GB2312" w:hAnsi="仿宋" w:eastAsia="仿宋_GB2312"/>
          <w:lang w:val="en-US" w:eastAsia="zh-CN"/>
        </w:rPr>
        <w:t>0</w:t>
      </w:r>
      <w:r>
        <w:rPr>
          <w:rStyle w:val="21"/>
          <w:rFonts w:hint="eastAsia" w:ascii="仿宋_GB2312" w:hAnsi="仿宋" w:eastAsia="仿宋_GB2312"/>
        </w:rPr>
        <w:t xml:space="preserve">  %</w:t>
      </w:r>
      <w:r>
        <w:rPr>
          <w:rStyle w:val="20"/>
          <w:rFonts w:hint="default" w:hAnsi="仿宋"/>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Style w:val="21"/>
          <w:rFonts w:hint="eastAsia" w:ascii="仿宋_GB2312" w:hAnsi="仿宋" w:eastAsia="仿宋_GB2312"/>
        </w:rPr>
        <w:t xml:space="preserve">2024 </w:t>
      </w:r>
      <w:r>
        <w:rPr>
          <w:rStyle w:val="20"/>
          <w:rFonts w:hint="default" w:hAnsi="仿宋"/>
        </w:rPr>
        <w:t>年一般公共预算当年支出</w:t>
      </w:r>
      <w:r>
        <w:rPr>
          <w:rStyle w:val="21"/>
          <w:rFonts w:hint="eastAsia" w:ascii="仿宋_GB2312" w:hAnsi="仿宋" w:eastAsia="仿宋_GB2312"/>
        </w:rPr>
        <w:t xml:space="preserve"> </w:t>
      </w:r>
      <w:r>
        <w:rPr>
          <w:rStyle w:val="21"/>
          <w:rFonts w:hint="eastAsia" w:ascii="仿宋_GB2312" w:hAnsi="仿宋" w:eastAsia="仿宋_GB2312"/>
          <w:lang w:val="en-US" w:eastAsia="zh-CN"/>
        </w:rPr>
        <w:t>205.09</w:t>
      </w:r>
      <w:r>
        <w:rPr>
          <w:rStyle w:val="21"/>
          <w:rFonts w:hint="eastAsia" w:ascii="仿宋_GB2312" w:hAnsi="仿宋" w:eastAsia="仿宋_GB2312"/>
        </w:rPr>
        <w:t xml:space="preserve"> </w:t>
      </w:r>
      <w:r>
        <w:rPr>
          <w:rStyle w:val="20"/>
          <w:rFonts w:hint="default" w:hAnsi="仿宋"/>
        </w:rPr>
        <w:t>万元，包括：一般公共服务支出</w:t>
      </w:r>
      <w:r>
        <w:rPr>
          <w:rStyle w:val="20"/>
          <w:rFonts w:hint="eastAsia" w:hAnsi="仿宋" w:eastAsia="仿宋_GB2312"/>
          <w:lang w:val="en-US" w:eastAsia="zh-CN"/>
        </w:rPr>
        <w:t>165.39</w:t>
      </w:r>
      <w:r>
        <w:rPr>
          <w:rStyle w:val="21"/>
          <w:rFonts w:hint="eastAsia" w:ascii="仿宋_GB2312" w:hAnsi="仿宋" w:eastAsia="仿宋_GB2312"/>
        </w:rPr>
        <w:t xml:space="preserve">  </w:t>
      </w:r>
      <w:r>
        <w:rPr>
          <w:rStyle w:val="20"/>
          <w:rFonts w:hint="default" w:hAnsi="仿宋"/>
        </w:rPr>
        <w:t>万元、社会保障和就业支出</w:t>
      </w:r>
      <w:r>
        <w:rPr>
          <w:rStyle w:val="20"/>
          <w:rFonts w:hint="eastAsia" w:hAnsi="仿宋" w:eastAsia="仿宋_GB2312"/>
          <w:lang w:val="en-US" w:eastAsia="zh-CN"/>
        </w:rPr>
        <w:t>26.01</w:t>
      </w:r>
      <w:r>
        <w:rPr>
          <w:rStyle w:val="21"/>
          <w:rFonts w:hint="eastAsia" w:ascii="仿宋_GB2312" w:hAnsi="仿宋" w:eastAsia="仿宋_GB2312"/>
        </w:rPr>
        <w:t xml:space="preserve"> </w:t>
      </w:r>
      <w:r>
        <w:rPr>
          <w:rStyle w:val="20"/>
          <w:rFonts w:hint="default" w:hAnsi="仿宋"/>
        </w:rPr>
        <w:t>万元、其他支出</w:t>
      </w:r>
      <w:r>
        <w:rPr>
          <w:rStyle w:val="20"/>
          <w:rFonts w:hint="eastAsia" w:hAnsi="仿宋" w:eastAsia="仿宋_GB2312"/>
          <w:lang w:val="en-US" w:eastAsia="zh-CN"/>
        </w:rPr>
        <w:t>13.7</w:t>
      </w:r>
      <w:r>
        <w:rPr>
          <w:rStyle w:val="21"/>
          <w:rFonts w:hint="eastAsia" w:ascii="仿宋_GB2312" w:hAnsi="仿宋" w:eastAsia="仿宋_GB2312"/>
        </w:rPr>
        <w:t xml:space="preserve"> </w:t>
      </w:r>
      <w:r>
        <w:rPr>
          <w:rStyle w:val="20"/>
          <w:rFonts w:hint="default" w:hAnsi="仿宋"/>
        </w:rPr>
        <w:t>万元。</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（详见部门（单位）预算公开表4,5,6,7）</w:t>
      </w:r>
      <w:r>
        <w:rPr>
          <w:rFonts w:hint="eastAsia" w:ascii="仿宋_GB2312" w:hAnsi="仿宋" w:eastAsia="仿宋_GB2312"/>
          <w:sz w:val="32"/>
          <w:szCs w:val="32"/>
        </w:rPr>
        <w:t>：</w:t>
      </w:r>
    </w:p>
    <w:p>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pPr>
        <w:widowControl/>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 xml:space="preserve">2024年基本支出 </w:t>
      </w:r>
      <w:r>
        <w:rPr>
          <w:rFonts w:hint="eastAsia" w:ascii="仿宋_GB2312" w:hAnsi="仿宋" w:eastAsia="仿宋_GB2312"/>
          <w:sz w:val="32"/>
          <w:szCs w:val="32"/>
          <w:lang w:val="en-US" w:eastAsia="zh-CN"/>
        </w:rPr>
        <w:t>205.09</w:t>
      </w:r>
      <w:r>
        <w:rPr>
          <w:rFonts w:hint="eastAsia" w:ascii="仿宋_GB2312" w:hAnsi="仿宋" w:eastAsia="仿宋_GB2312"/>
          <w:sz w:val="32"/>
          <w:szCs w:val="32"/>
        </w:rPr>
        <w:t xml:space="preserve"> 万元，比2023年预算减少</w:t>
      </w:r>
      <w:r>
        <w:rPr>
          <w:rFonts w:hint="eastAsia" w:ascii="仿宋_GB2312" w:hAnsi="仿宋" w:eastAsia="仿宋_GB2312"/>
          <w:sz w:val="32"/>
          <w:szCs w:val="32"/>
          <w:lang w:val="en-US" w:eastAsia="zh-CN"/>
        </w:rPr>
        <w:t>0.41</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0.2</w:t>
      </w:r>
      <w:r>
        <w:rPr>
          <w:rFonts w:hint="eastAsia" w:ascii="仿宋_GB2312" w:hAnsi="仿宋" w:eastAsia="仿宋_GB2312"/>
          <w:sz w:val="32"/>
          <w:szCs w:val="32"/>
        </w:rPr>
        <w:t>%，下降的主要原因是</w:t>
      </w:r>
      <w:r>
        <w:rPr>
          <w:rFonts w:hint="eastAsia" w:ascii="仿宋_GB2312" w:hAnsi="仿宋" w:eastAsia="仿宋_GB2312"/>
          <w:sz w:val="32"/>
          <w:szCs w:val="32"/>
          <w:lang w:val="en-US" w:eastAsia="zh-CN"/>
        </w:rPr>
        <w:t>在职人员病故，停发工资。</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其中：人员经费支出 </w:t>
      </w:r>
      <w:r>
        <w:rPr>
          <w:rFonts w:hint="eastAsia" w:ascii="仿宋_GB2312" w:hAnsi="仿宋" w:eastAsia="仿宋_GB2312"/>
          <w:sz w:val="32"/>
          <w:szCs w:val="32"/>
          <w:lang w:val="en-US" w:eastAsia="zh-CN"/>
        </w:rPr>
        <w:t>193.59</w:t>
      </w:r>
      <w:r>
        <w:rPr>
          <w:rFonts w:hint="eastAsia" w:ascii="仿宋_GB2312" w:hAnsi="仿宋" w:eastAsia="仿宋_GB2312"/>
          <w:sz w:val="32"/>
          <w:szCs w:val="32"/>
        </w:rPr>
        <w:t xml:space="preserve"> 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 、其他对个人和家庭的补助等。</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公用经费支出 </w:t>
      </w:r>
      <w:r>
        <w:rPr>
          <w:rFonts w:hint="eastAsia" w:ascii="仿宋_GB2312" w:hAnsi="仿宋" w:eastAsia="仿宋_GB2312"/>
          <w:sz w:val="32"/>
          <w:szCs w:val="32"/>
          <w:lang w:val="en-US" w:eastAsia="zh-CN"/>
        </w:rPr>
        <w:t>11.5</w:t>
      </w:r>
      <w:r>
        <w:rPr>
          <w:rFonts w:hint="eastAsia" w:ascii="仿宋_GB2312" w:hAnsi="仿宋" w:eastAsia="仿宋_GB2312"/>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2024年一般公共预算财政拨款项目支出预算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万元，比2023年预算增加（减少）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万元，增长（减少）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经济社会发展项目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保障运转经费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其他项目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eastAsia="zh-CN"/>
        </w:rPr>
      </w:pPr>
      <w:r>
        <w:rPr>
          <w:rFonts w:hint="eastAsia" w:ascii="仿宋_GB2312" w:hAnsi="TimesNewRomanPS-BoldMT" w:eastAsia="仿宋_GB2312"/>
          <w:bCs/>
          <w:color w:val="000000"/>
          <w:sz w:val="32"/>
          <w:szCs w:val="32"/>
        </w:rPr>
        <w:t>1.</w:t>
      </w:r>
      <w:r>
        <w:rPr>
          <w:rFonts w:hint="eastAsia" w:ascii="仿宋_GB2312" w:eastAsia="仿宋_GB2312"/>
          <w:color w:val="000000"/>
          <w:sz w:val="32"/>
          <w:szCs w:val="32"/>
        </w:rPr>
        <w:t>一般公共服务（ 类） 纪检监察事务（ 款） 派驻派出机构（ 项）</w:t>
      </w:r>
      <w:r>
        <w:rPr>
          <w:rFonts w:hint="eastAsia" w:ascii="仿宋_GB2312" w:hAnsi="TimesNewRomanPSMT" w:eastAsia="仿宋_GB2312"/>
          <w:color w:val="000000"/>
          <w:sz w:val="32"/>
          <w:szCs w:val="32"/>
        </w:rPr>
        <w:t xml:space="preserve">2024 </w:t>
      </w:r>
      <w:r>
        <w:rPr>
          <w:rFonts w:hint="eastAsia" w:ascii="仿宋_GB2312" w:eastAsia="仿宋_GB2312"/>
          <w:color w:val="000000"/>
          <w:sz w:val="32"/>
          <w:szCs w:val="32"/>
        </w:rPr>
        <w:t>年预算数为</w:t>
      </w:r>
      <w:r>
        <w:rPr>
          <w:rFonts w:hint="eastAsia" w:ascii="仿宋_GB2312" w:hAnsi="TimesNewRomanPSMT" w:eastAsia="仿宋_GB2312"/>
          <w:color w:val="000000"/>
          <w:sz w:val="32"/>
          <w:szCs w:val="32"/>
        </w:rPr>
        <w:t xml:space="preserve">  </w:t>
      </w:r>
      <w:r>
        <w:rPr>
          <w:rFonts w:hint="eastAsia" w:ascii="仿宋_GB2312" w:hAnsi="TimesNewRomanPSMT" w:eastAsia="仿宋_GB2312"/>
          <w:color w:val="000000"/>
          <w:sz w:val="32"/>
          <w:szCs w:val="32"/>
          <w:lang w:val="en-US" w:eastAsia="zh-CN"/>
        </w:rPr>
        <w:t>0</w:t>
      </w:r>
      <w:r>
        <w:rPr>
          <w:rFonts w:hint="eastAsia" w:ascii="仿宋_GB2312" w:hAnsi="TimesNewRomanPSMT" w:eastAsia="仿宋_GB2312"/>
          <w:color w:val="000000"/>
          <w:sz w:val="32"/>
          <w:szCs w:val="32"/>
        </w:rPr>
        <w:t xml:space="preserve"> </w:t>
      </w:r>
      <w:r>
        <w:rPr>
          <w:rFonts w:hint="eastAsia" w:ascii="仿宋_GB2312" w:eastAsia="仿宋_GB2312"/>
          <w:color w:val="000000"/>
          <w:sz w:val="32"/>
          <w:szCs w:val="32"/>
        </w:rPr>
        <w:t xml:space="preserve">万元， 比 </w:t>
      </w:r>
      <w:r>
        <w:rPr>
          <w:rFonts w:hint="eastAsia" w:ascii="仿宋_GB2312" w:hAnsi="TimesNewRomanPSMT" w:eastAsia="仿宋_GB2312"/>
          <w:color w:val="000000"/>
          <w:sz w:val="32"/>
          <w:szCs w:val="32"/>
        </w:rPr>
        <w:t xml:space="preserve">2023 </w:t>
      </w:r>
      <w:r>
        <w:rPr>
          <w:rFonts w:hint="eastAsia" w:ascii="仿宋_GB2312" w:eastAsia="仿宋_GB2312"/>
          <w:color w:val="000000"/>
          <w:sz w:val="32"/>
          <w:szCs w:val="32"/>
        </w:rPr>
        <w:t xml:space="preserve">年预算增加 </w:t>
      </w:r>
      <w:r>
        <w:rPr>
          <w:rFonts w:hint="eastAsia" w:ascii="仿宋_GB2312" w:hAnsi="TimesNewRomanPSMT" w:eastAsia="仿宋_GB2312"/>
          <w:color w:val="000000"/>
          <w:sz w:val="32"/>
          <w:szCs w:val="32"/>
        </w:rPr>
        <w:t xml:space="preserve"> </w:t>
      </w:r>
      <w:r>
        <w:rPr>
          <w:rFonts w:hint="eastAsia" w:ascii="仿宋_GB2312" w:hAnsi="TimesNewRomanPSMT" w:eastAsia="仿宋_GB2312"/>
          <w:color w:val="000000"/>
          <w:sz w:val="32"/>
          <w:szCs w:val="32"/>
          <w:lang w:val="en-US" w:eastAsia="zh-CN"/>
        </w:rPr>
        <w:t>0</w:t>
      </w:r>
      <w:r>
        <w:rPr>
          <w:rFonts w:hint="eastAsia" w:ascii="仿宋_GB2312" w:hAnsi="TimesNewRomanPSMT" w:eastAsia="仿宋_GB2312"/>
          <w:color w:val="000000"/>
          <w:sz w:val="32"/>
          <w:szCs w:val="32"/>
        </w:rPr>
        <w:t xml:space="preserve"> </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 xml:space="preserve">“三公”经费预算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万元，较2023年预算增加（减少）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1.因公出国（境）费用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万元，较2023年预算增加（减少）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万元，增长（下降）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2.公务接待费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万元，较2023年预算增加（减少）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万元，增长（下降）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3.公务用车购置及运行维护费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万元（其中：公务用车购置    万元，公务用车运行维护费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万元），较2023年预算增加（减少）    万元，增长（下降）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4.培训费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万元，较2023年预算增加（减少）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万元，增长（下降）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%，增长（下降）的主要原因是。</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5.会议费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万元，较2023年预算增加（减少）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万元，增长（下降）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p>
    <w:p>
      <w:pPr>
        <w:widowControl/>
        <w:spacing w:line="640" w:lineRule="exact"/>
        <w:ind w:firstLine="640" w:firstLineChars="200"/>
        <w:jc w:val="left"/>
        <w:rPr>
          <w:rFonts w:ascii="仿宋_GB2312" w:eastAsia="仿宋_GB2312"/>
          <w:sz w:val="32"/>
          <w:szCs w:val="32"/>
        </w:rPr>
      </w:pP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机关运行经费</w:t>
      </w:r>
      <w:r>
        <w:rPr>
          <w:rFonts w:hint="eastAsia" w:ascii="仿宋_GB2312" w:hAnsi="仿宋" w:eastAsia="仿宋_GB2312"/>
          <w:sz w:val="32"/>
          <w:szCs w:val="32"/>
          <w:lang w:val="en-US" w:eastAsia="zh-CN"/>
        </w:rPr>
        <w:t>11.5</w:t>
      </w:r>
      <w:r>
        <w:rPr>
          <w:rFonts w:hint="eastAsia" w:ascii="仿宋_GB2312" w:hAnsi="仿宋" w:eastAsia="仿宋_GB2312"/>
          <w:sz w:val="32"/>
          <w:szCs w:val="32"/>
        </w:rPr>
        <w:t>万元，较2023年预算增加</w:t>
      </w:r>
      <w:r>
        <w:rPr>
          <w:rFonts w:hint="eastAsia" w:ascii="仿宋_GB2312" w:hAnsi="仿宋" w:eastAsia="仿宋_GB2312"/>
          <w:sz w:val="32"/>
          <w:szCs w:val="32"/>
          <w:lang w:val="en-US" w:eastAsia="zh-CN"/>
        </w:rPr>
        <w:t>1.5</w:t>
      </w:r>
      <w:r>
        <w:rPr>
          <w:rFonts w:hint="eastAsia" w:ascii="仿宋_GB2312" w:hAnsi="仿宋" w:eastAsia="仿宋_GB2312"/>
          <w:sz w:val="32"/>
          <w:szCs w:val="32"/>
        </w:rPr>
        <w:t xml:space="preserve"> 万元，增长</w:t>
      </w:r>
      <w:r>
        <w:rPr>
          <w:rFonts w:hint="eastAsia" w:ascii="仿宋_GB2312" w:hAnsi="仿宋" w:eastAsia="仿宋_GB2312"/>
          <w:sz w:val="32"/>
          <w:szCs w:val="32"/>
          <w:lang w:val="en-US" w:eastAsia="zh-CN"/>
        </w:rPr>
        <w:t>15</w:t>
      </w:r>
      <w:r>
        <w:rPr>
          <w:rFonts w:hint="eastAsia" w:ascii="仿宋_GB2312" w:hAnsi="仿宋" w:eastAsia="仿宋_GB2312"/>
          <w:sz w:val="32"/>
          <w:szCs w:val="32"/>
        </w:rPr>
        <w:t xml:space="preserve"> %，增长（下降）的主要原因是</w:t>
      </w:r>
      <w:r>
        <w:rPr>
          <w:rFonts w:hint="eastAsia" w:ascii="仿宋_GB2312" w:hAnsi="仿宋" w:eastAsia="仿宋_GB2312"/>
          <w:sz w:val="32"/>
          <w:szCs w:val="32"/>
          <w:lang w:val="en-US" w:eastAsia="zh-CN"/>
        </w:rPr>
        <w:t>公用经费的提高</w:t>
      </w:r>
      <w:r>
        <w:rPr>
          <w:rFonts w:hint="eastAsia" w:ascii="仿宋_GB2312" w:hAnsi="仿宋" w:eastAsia="仿宋_GB2312"/>
          <w:sz w:val="32"/>
          <w:szCs w:val="32"/>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2024年，部门（单位）政府采购预算总额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万元，其中：政府采购货物预算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万元，政府采购工程预算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万元，政府采购服务预算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2024年，部门（单位）面向中小企业预留政府采购项目预算金额  万元，小微企业预留政府采购项目预算金额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上年末固定资产金额为   </w:t>
      </w:r>
      <w:r>
        <w:rPr>
          <w:rFonts w:hint="eastAsia" w:ascii="仿宋_GB2312" w:hAnsi="仿宋" w:eastAsia="仿宋_GB2312"/>
          <w:sz w:val="32"/>
          <w:szCs w:val="32"/>
          <w:lang w:val="en-US" w:eastAsia="zh-CN"/>
        </w:rPr>
        <w:t>10.74</w:t>
      </w:r>
      <w:r>
        <w:rPr>
          <w:rFonts w:hint="eastAsia" w:ascii="仿宋_GB2312" w:hAnsi="仿宋" w:eastAsia="仿宋_GB2312"/>
          <w:sz w:val="32"/>
          <w:szCs w:val="32"/>
        </w:rPr>
        <w:t xml:space="preserve">  万元。其中：办公用房 </w:t>
      </w:r>
      <w:r>
        <w:rPr>
          <w:rFonts w:hint="eastAsia" w:ascii="仿宋_GB2312" w:hAnsi="仿宋" w:eastAsia="仿宋_GB2312"/>
          <w:sz w:val="32"/>
          <w:szCs w:val="32"/>
          <w:lang w:val="en-US" w:eastAsia="zh-CN"/>
        </w:rPr>
        <w:t>147</w:t>
      </w:r>
      <w:r>
        <w:rPr>
          <w:rFonts w:hint="eastAsia" w:ascii="仿宋_GB2312" w:hAnsi="仿宋" w:eastAsia="仿宋_GB2312"/>
          <w:sz w:val="32"/>
          <w:szCs w:val="32"/>
        </w:rPr>
        <w:t xml:space="preserve">  平方米，价值 </w:t>
      </w:r>
      <w:r>
        <w:rPr>
          <w:rFonts w:hint="eastAsia" w:ascii="仿宋_GB2312" w:hAnsi="仿宋" w:eastAsia="仿宋_GB2312"/>
          <w:sz w:val="32"/>
          <w:szCs w:val="32"/>
          <w:lang w:val="en-US" w:eastAsia="zh-CN"/>
        </w:rPr>
        <w:t>6.72</w:t>
      </w:r>
      <w:r>
        <w:rPr>
          <w:rFonts w:hint="eastAsia" w:ascii="仿宋_GB2312" w:hAnsi="仿宋" w:eastAsia="仿宋_GB2312"/>
          <w:sz w:val="32"/>
          <w:szCs w:val="32"/>
        </w:rPr>
        <w:t xml:space="preserve"> 万元。预算部门（单位）共有公务用车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辆，价值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万元。单价20万元以上的设备价值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万元。2024年拟采购固定资产约 </w:t>
      </w:r>
      <w:r>
        <w:rPr>
          <w:rFonts w:hint="eastAsia" w:ascii="仿宋_GB2312" w:hAnsi="仿宋" w:eastAsia="仿宋_GB2312"/>
          <w:sz w:val="32"/>
          <w:szCs w:val="32"/>
          <w:lang w:val="en-US" w:eastAsia="zh-CN"/>
        </w:rPr>
        <w:t>1.5</w:t>
      </w:r>
      <w:r>
        <w:rPr>
          <w:rFonts w:hint="eastAsia" w:ascii="仿宋_GB2312" w:hAnsi="仿宋" w:eastAsia="仿宋_GB2312"/>
          <w:sz w:val="32"/>
          <w:szCs w:val="32"/>
        </w:rPr>
        <w:t xml:space="preserve">    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2024年使用政府性基金预算拨款安排支出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万元，较2023年预算增加（减少）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万元，增长（下降）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1．交通运输支出（ 类） 民航发展基金支出（ 款） 民航安全（ 项）2024 年预算数为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万元，较2023 年预算减少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w:t>
      </w:r>
    </w:p>
    <w:p>
      <w:pPr>
        <w:widowControl/>
        <w:adjustRightInd w:val="0"/>
        <w:snapToGrid w:val="0"/>
        <w:spacing w:line="640" w:lineRule="exact"/>
        <w:ind w:firstLine="640" w:firstLineChars="200"/>
        <w:contextualSpacing/>
        <w:jc w:val="left"/>
        <w:rPr>
          <w:rFonts w:ascii="仿宋_GB2312" w:eastAsia="仿宋_GB2312"/>
          <w:color w:val="000000"/>
          <w:sz w:val="32"/>
          <w:szCs w:val="32"/>
        </w:rPr>
      </w:pPr>
      <w:r>
        <w:rPr>
          <w:rFonts w:hint="eastAsia" w:ascii="仿宋_GB2312" w:hAnsi="仿宋" w:eastAsia="仿宋_GB2312"/>
          <w:sz w:val="32"/>
          <w:szCs w:val="32"/>
        </w:rPr>
        <w:t>2.</w:t>
      </w:r>
      <w:r>
        <w:rPr>
          <w:rFonts w:hint="eastAsia" w:ascii="仿宋_GB2312" w:eastAsia="仿宋_GB2312"/>
          <w:color w:val="000000"/>
          <w:sz w:val="32"/>
          <w:szCs w:val="32"/>
        </w:rPr>
        <w:t>……</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说明:如果2024年未安排政府性基金预算支出，请写成“未安排预算，政府性基金预算支出情况表为空表。”</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2024年本部门/单位涉及非税收入，2024年计划征收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万元。其中：中央（省级）批准设立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说明：如果2024年无非税收入，请写成“本部门/单位2024年</w:t>
      </w:r>
      <w:r>
        <w:rPr>
          <w:rFonts w:ascii="仿宋_GB2312" w:hAnsi="仿宋" w:eastAsia="仿宋_GB2312"/>
          <w:sz w:val="32"/>
          <w:szCs w:val="32"/>
        </w:rPr>
        <w:t>无非税收入</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选取1个2024年部门/单位预算安排的经济社会发展类项目公开项目文本信息，包括项目名称、项目概况、立项依据、实施主体、实施周期、实施计划、年度预算安排、预期总体目标等内容。没有经济社会发展类项目支出的部门/单位可公开其他类项目。</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项目名称：</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1、项目概况：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2、立项依据：</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3、实施主体：</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4、实施周期：</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5、实施计划：</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6、年度预算安排：</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7、预期总体目标：</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说明：如果本部门没有一般公共预算的项目支出预算，则写“本部门/单位年初预算未安排项目支出，无重点项目说明。”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val="en-US" w:eastAsia="zh-CN"/>
        </w:rPr>
        <w:t>四</w:t>
      </w:r>
      <w:r>
        <w:rPr>
          <w:rFonts w:hint="eastAsia" w:ascii="楷体_GB2312" w:hAnsi="楷体" w:eastAsia="楷体_GB2312" w:cs="宋体"/>
          <w:b/>
          <w:bCs/>
          <w:kern w:val="0"/>
          <w:sz w:val="32"/>
          <w:szCs w:val="32"/>
        </w:rPr>
        <w:t>）国有资本经营预算支出情况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2024年使用国有资本经营预算拨款安排支出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万元，比2023年预算增加（减少）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万元，增长（下降）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1.国有资本经营预算支出（ 类）解决历史遗留问题及改革成本支出（ 款）国有企业改革成本支出（项）2024 年预算数为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万元，较2023 年预算减少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w:t>
      </w:r>
    </w:p>
    <w:p>
      <w:pPr>
        <w:widowControl/>
        <w:adjustRightInd w:val="0"/>
        <w:snapToGrid w:val="0"/>
        <w:spacing w:line="64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rPr>
        <w:t>备注：1.分科目到项级进行说明，请参考一般公共预算和政府性基金的要求。2.如果 2024 年未安排国有资本经营预算支出，请写成“未安排预算，国有资本经营预算支出情况表为空表。”</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（一）2023年预算绩效管理工作情况。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rPr>
        <w:t>部门/单位</w:t>
      </w:r>
      <w:r>
        <w:rPr>
          <w:rFonts w:hint="eastAsia" w:ascii="仿宋_GB2312" w:hAnsi="仿宋" w:eastAsia="仿宋_GB2312"/>
          <w:sz w:val="32"/>
          <w:szCs w:val="32"/>
        </w:rPr>
        <w:t xml:space="preserve">整体支出和项目绩效目标   个，按规定随年度预算一并公开项目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个，公开率为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 xml:space="preserve">2023年7月，组织开展1-6月绩效运行监控项目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个，占本</w:t>
      </w:r>
      <w:r>
        <w:rPr>
          <w:rFonts w:hint="eastAsia" w:ascii="仿宋_GB2312" w:hAnsi="CIDFont+F6" w:eastAsia="仿宋_GB2312"/>
          <w:color w:val="000000"/>
          <w:sz w:val="32"/>
          <w:szCs w:val="32"/>
        </w:rPr>
        <w:t>部门/单位</w:t>
      </w:r>
      <w:r>
        <w:rPr>
          <w:rFonts w:hint="eastAsia" w:ascii="仿宋_GB2312" w:hAnsi="仿宋" w:eastAsia="仿宋_GB2312"/>
          <w:sz w:val="32"/>
          <w:szCs w:val="32"/>
        </w:rPr>
        <w:t xml:space="preserve">项目的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%。截至7月底，如期完成预算执行和绩效目标指标值的项目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个，完成率为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%。“双监控”发现存在的问题和主要原因是：……(需自行完善编辑)。开展1-9月绩效运行监控项目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个，占本部门（单位）项目的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%。截至10月底，如期完成预算执行和绩效目标指标值的项目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个，完成率为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%。“双监控”发现存在的问题和主要原因是：……。绩效运行监控在部门内部通报整改情况：……(需自行完善编辑)。</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rPr>
        <w:t xml:space="preserve">2023年度，组织开展绩效自评项目共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个，其中，部门（单位）整体支出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个，项目支出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个，转移支付项目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个，绩效自评覆盖率为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%。绩效自评结果随部门决算报送财政和随决算公开情况：┄┄(需自行完善编辑)。</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4.绩效结果应用情况。</w:t>
      </w:r>
      <w:r>
        <w:rPr>
          <w:rFonts w:hint="eastAsia" w:ascii="仿宋_GB2312" w:hAnsi="仿宋" w:eastAsia="仿宋_GB2312"/>
          <w:sz w:val="32"/>
          <w:szCs w:val="32"/>
        </w:rPr>
        <w:t xml:space="preserve">根据2023年度绩效运行监控、绩效自评等情况，当年盘活财政资金  万元，2024年度增加（减少）部门预算项目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个，增长率/压减率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%。同时对政策和项目资金管理作出调整的   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（二）2024年绩效目标编制情况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 xml:space="preserve">2024年，纳入部门/单位预算绩效目标管理的项目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个。其中，部门整体支出绩效目标围绕部门管理、履职效果、能力建设三个维度，设置二级指标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个、三级指标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个；项目支出绩效目标围绕成本指标、产出指标、效益指标、满意度指标四个维度，设置二级指标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个、三级指标 </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个。各项绩效目标内容指向明确、细化量化、合理可行，符合规定的格式要求。</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w:t>
      </w:r>
    </w:p>
    <w:p>
      <w:pPr>
        <w:adjustRightInd w:val="0"/>
        <w:snapToGrid w:val="0"/>
        <w:spacing w:line="640" w:lineRule="exact"/>
        <w:ind w:firstLine="640" w:firstLineChars="200"/>
        <w:contextualSpacing/>
        <w:rPr>
          <w:rFonts w:hint="eastAsia" w:ascii="仿宋_GB2312" w:hAnsi="CIDFont+F6" w:eastAsia="仿宋_GB2312"/>
          <w:color w:val="000000"/>
          <w:sz w:val="32"/>
          <w:szCs w:val="32"/>
        </w:rPr>
      </w:pPr>
    </w:p>
    <w:p>
      <w:pPr>
        <w:adjustRightInd w:val="0"/>
        <w:snapToGrid w:val="0"/>
        <w:spacing w:line="640" w:lineRule="exact"/>
        <w:ind w:firstLine="643" w:firstLineChars="200"/>
        <w:contextualSpacing/>
        <w:rPr>
          <w:rFonts w:hint="eastAsia" w:ascii="仿宋_GB2312" w:hAnsi="CIDFont+F4" w:eastAsia="仿宋_GB2312"/>
          <w:b/>
          <w:color w:val="000000"/>
          <w:sz w:val="32"/>
          <w:szCs w:val="32"/>
        </w:rPr>
      </w:pPr>
      <w:r>
        <w:rPr>
          <w:rFonts w:hint="eastAsia" w:ascii="仿宋_GB2312" w:hAnsi="CIDFont+F4" w:eastAsia="仿宋_GB2312"/>
          <w:b/>
          <w:color w:val="000000"/>
          <w:sz w:val="32"/>
          <w:szCs w:val="32"/>
        </w:rPr>
        <w:t>（请部门/单位对编制中涉及的专业名词进行补充解释）</w:t>
      </w: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ind w:right="1120" w:firstLine="5440" w:firstLineChars="1700"/>
        <w:contextualSpacing/>
        <w:jc w:val="both"/>
        <w:rPr>
          <w:rFonts w:hint="eastAsia" w:ascii="仿宋_GB2312" w:hAnsi="CIDFont+F6" w:eastAsia="仿宋_GB2312"/>
          <w:color w:val="000000"/>
          <w:sz w:val="32"/>
          <w:szCs w:val="32"/>
          <w:lang w:val="en-US" w:eastAsia="zh-CN"/>
        </w:rPr>
      </w:pPr>
      <w:r>
        <w:rPr>
          <w:rFonts w:hint="eastAsia" w:ascii="仿宋_GB2312" w:hAnsi="CIDFont+F6" w:eastAsia="仿宋_GB2312"/>
          <w:color w:val="000000"/>
          <w:sz w:val="32"/>
          <w:szCs w:val="32"/>
          <w:lang w:val="en-US" w:eastAsia="zh-CN"/>
        </w:rPr>
        <w:t>积石山县佛教协</w:t>
      </w:r>
    </w:p>
    <w:p>
      <w:pPr>
        <w:adjustRightInd w:val="0"/>
        <w:snapToGrid w:val="0"/>
        <w:spacing w:line="640" w:lineRule="exact"/>
        <w:ind w:right="1120" w:firstLine="5120" w:firstLineChars="1600"/>
        <w:contextualSpacing/>
        <w:jc w:val="both"/>
        <w:rPr>
          <w:rFonts w:ascii="仿宋_GB2312" w:eastAsia="仿宋_GB2312"/>
          <w:sz w:val="32"/>
          <w:szCs w:val="32"/>
        </w:rPr>
      </w:pPr>
      <w:r>
        <w:rPr>
          <w:rFonts w:hint="eastAsia" w:ascii="仿宋_GB2312" w:hAnsi="CIDFont+F6" w:eastAsia="仿宋_GB2312"/>
          <w:color w:val="000000"/>
          <w:sz w:val="32"/>
          <w:szCs w:val="32"/>
          <w:lang w:val="en-US" w:eastAsia="zh-CN"/>
        </w:rPr>
        <w:t>2024</w:t>
      </w:r>
      <w:r>
        <w:rPr>
          <w:rFonts w:hint="eastAsia" w:ascii="仿宋_GB2312" w:hAnsi="CIDFont+F6" w:eastAsia="仿宋_GB2312"/>
          <w:color w:val="000000"/>
          <w:sz w:val="32"/>
          <w:szCs w:val="32"/>
        </w:rPr>
        <w:t xml:space="preserve">年 </w:t>
      </w:r>
      <w:r>
        <w:rPr>
          <w:rFonts w:hint="eastAsia" w:ascii="仿宋_GB2312" w:hAnsi="CIDFont+F6" w:eastAsia="仿宋_GB2312"/>
          <w:color w:val="000000"/>
          <w:sz w:val="32"/>
          <w:szCs w:val="32"/>
          <w:lang w:val="en-US" w:eastAsia="zh-CN"/>
        </w:rPr>
        <w:t>3</w:t>
      </w:r>
      <w:r>
        <w:rPr>
          <w:rFonts w:hint="eastAsia" w:ascii="仿宋_GB2312" w:hAnsi="CIDFont+F6" w:eastAsia="仿宋_GB2312"/>
          <w:color w:val="000000"/>
          <w:sz w:val="32"/>
          <w:szCs w:val="32"/>
        </w:rPr>
        <w:t xml:space="preserve"> 月 </w:t>
      </w:r>
      <w:r>
        <w:rPr>
          <w:rFonts w:hint="eastAsia" w:ascii="仿宋_GB2312" w:hAnsi="CIDFont+F6" w:eastAsia="仿宋_GB2312"/>
          <w:color w:val="000000"/>
          <w:sz w:val="32"/>
          <w:szCs w:val="32"/>
          <w:lang w:val="en-US" w:eastAsia="zh-CN"/>
        </w:rPr>
        <w:t>19</w:t>
      </w:r>
      <w:r>
        <w:rPr>
          <w:rFonts w:hint="eastAsia" w:ascii="仿宋_GB2312" w:hAnsi="CIDFont+F6" w:eastAsia="仿宋_GB2312"/>
          <w:color w:val="000000"/>
          <w:sz w:val="32"/>
          <w:szCs w:val="32"/>
        </w:rPr>
        <w:t xml:space="preserve"> 日</w:t>
      </w:r>
    </w:p>
    <w:p>
      <w:pPr>
        <w:adjustRightInd w:val="0"/>
        <w:snapToGrid w:val="0"/>
        <w:spacing w:line="640" w:lineRule="exact"/>
        <w:ind w:firstLine="640" w:firstLineChars="200"/>
        <w:contextualSpacing/>
        <w:rPr>
          <w:rFonts w:ascii="仿宋_GB2312" w:hAnsi="宋体" w:eastAsia="仿宋_GB2312" w:cs="宋体"/>
          <w:kern w:val="0"/>
          <w:sz w:val="32"/>
          <w:szCs w:val="32"/>
        </w:rPr>
      </w:pPr>
    </w:p>
    <w:p>
      <w:pPr>
        <w:adjustRightInd w:val="0"/>
        <w:snapToGrid w:val="0"/>
        <w:spacing w:line="640" w:lineRule="exact"/>
        <w:ind w:firstLine="640" w:firstLineChars="200"/>
        <w:contextualSpacing/>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w:t>
      </w:r>
      <w:r>
        <w:rPr>
          <w:rFonts w:hint="eastAsia" w:ascii="仿宋_GB2312" w:hAnsi="宋体" w:eastAsia="仿宋_GB2312" w:cs="宋体"/>
          <w:spacing w:val="-20"/>
          <w:kern w:val="0"/>
          <w:sz w:val="32"/>
          <w:szCs w:val="32"/>
          <w:lang w:val="en-US" w:eastAsia="zh-CN"/>
        </w:rPr>
        <w:t>积石山县佛教协会</w:t>
      </w:r>
      <w:r>
        <w:rPr>
          <w:rFonts w:hint="eastAsia" w:ascii="仿宋_GB2312" w:hAnsi="宋体" w:eastAsia="仿宋_GB2312" w:cs="宋体"/>
          <w:spacing w:val="-20"/>
          <w:kern w:val="0"/>
          <w:sz w:val="32"/>
          <w:szCs w:val="32"/>
        </w:rPr>
        <w:t xml:space="preserve"> 2024</w:t>
      </w:r>
      <w:r>
        <w:rPr>
          <w:rFonts w:hint="eastAsia" w:ascii="仿宋_GB2312" w:hAnsi="宋体" w:eastAsia="仿宋_GB2312" w:cs="宋体"/>
          <w:spacing w:val="-20"/>
          <w:kern w:val="0"/>
          <w:sz w:val="32"/>
          <w:szCs w:val="32"/>
          <w:lang w:val="en-US" w:eastAsia="zh-CN"/>
        </w:rPr>
        <w:t>年</w:t>
      </w:r>
      <w:r>
        <w:rPr>
          <w:rFonts w:hint="eastAsia" w:ascii="仿宋_GB2312" w:hAnsi="宋体" w:eastAsia="仿宋_GB2312" w:cs="宋体"/>
          <w:spacing w:val="-20"/>
          <w:kern w:val="0"/>
          <w:sz w:val="32"/>
          <w:szCs w:val="32"/>
        </w:rPr>
        <w:t>预算公开表</w:t>
      </w:r>
    </w:p>
    <w:p>
      <w:pPr>
        <w:adjustRightInd w:val="0"/>
        <w:snapToGrid w:val="0"/>
        <w:spacing w:line="640" w:lineRule="exact"/>
        <w:ind w:left="1796" w:leftChars="767" w:hanging="185" w:hangingChars="58"/>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spacing w:val="-20"/>
          <w:kern w:val="0"/>
          <w:sz w:val="32"/>
          <w:szCs w:val="32"/>
          <w:lang w:val="en-US" w:eastAsia="zh-CN"/>
        </w:rPr>
        <w:t>积石山县佛教协会</w:t>
      </w:r>
      <w:r>
        <w:rPr>
          <w:rFonts w:hint="eastAsia" w:ascii="仿宋_GB2312" w:hAnsi="宋体" w:eastAsia="仿宋_GB2312" w:cs="宋体"/>
          <w:kern w:val="0"/>
          <w:sz w:val="32"/>
          <w:szCs w:val="32"/>
        </w:rPr>
        <w:t xml:space="preserve"> 2024年</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整体支出绩效目标及预算项目绩效目标表</w:t>
      </w:r>
    </w:p>
    <w:p>
      <w:pPr>
        <w:adjustRightInd w:val="0"/>
        <w:snapToGrid w:val="0"/>
        <w:spacing w:line="640" w:lineRule="exact"/>
        <w:contextualSpacing/>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收支总体情况表</w:t>
      </w:r>
    </w:p>
    <w:tbl>
      <w:tblPr>
        <w:tblStyle w:val="8"/>
        <w:tblpPr w:leftFromText="180" w:rightFromText="180" w:vertAnchor="text" w:horzAnchor="page" w:tblpX="1285" w:tblpY="342"/>
        <w:tblOverlap w:val="never"/>
        <w:tblW w:w="9619" w:type="dxa"/>
        <w:tblInd w:w="0" w:type="dxa"/>
        <w:tblLayout w:type="autofit"/>
        <w:tblCellMar>
          <w:top w:w="0" w:type="dxa"/>
          <w:left w:w="108" w:type="dxa"/>
          <w:bottom w:w="0" w:type="dxa"/>
          <w:right w:w="108" w:type="dxa"/>
        </w:tblCellMar>
      </w:tblPr>
      <w:tblGrid>
        <w:gridCol w:w="3369"/>
        <w:gridCol w:w="1601"/>
        <w:gridCol w:w="3236"/>
        <w:gridCol w:w="1413"/>
      </w:tblGrid>
      <w:tr>
        <w:tblPrEx>
          <w:tblCellMar>
            <w:top w:w="0" w:type="dxa"/>
            <w:left w:w="108" w:type="dxa"/>
            <w:bottom w:w="0" w:type="dxa"/>
            <w:right w:w="108" w:type="dxa"/>
          </w:tblCellMar>
        </w:tblPrEx>
        <w:trPr>
          <w:trHeight w:val="274" w:hRule="atLeast"/>
        </w:trPr>
        <w:tc>
          <w:tcPr>
            <w:tcW w:w="497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9"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1"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3"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1" w:type="dxa"/>
            <w:tcBorders>
              <w:top w:val="nil"/>
              <w:left w:val="single" w:color="000000" w:sz="4" w:space="0"/>
              <w:bottom w:val="single" w:color="auto" w:sz="4" w:space="0"/>
              <w:right w:val="single" w:color="000000" w:sz="4" w:space="0"/>
            </w:tcBorders>
            <w:shd w:val="clear" w:color="CCCCFF" w:fill="FFFFFF"/>
            <w:noWrap/>
            <w:vAlign w:val="center"/>
          </w:tcPr>
          <w:p>
            <w:pPr>
              <w:keepNext w:val="0"/>
              <w:keepLines w:val="0"/>
              <w:widowControl/>
              <w:suppressLineNumbers w:val="0"/>
              <w:jc w:val="right"/>
              <w:textAlignment w:val="center"/>
              <w:rPr>
                <w:rFonts w:ascii="宋体" w:hAnsi="宋体"/>
                <w:color w:val="000000"/>
                <w:sz w:val="18"/>
                <w:szCs w:val="18"/>
              </w:rPr>
            </w:pPr>
            <w:r>
              <w:rPr>
                <w:rFonts w:hint="eastAsia" w:ascii="仿宋" w:hAnsi="仿宋" w:eastAsia="仿宋" w:cs="仿宋"/>
                <w:i w:val="0"/>
                <w:iCs w:val="0"/>
                <w:color w:val="000000"/>
                <w:kern w:val="0"/>
                <w:sz w:val="18"/>
                <w:szCs w:val="18"/>
                <w:u w:val="none"/>
                <w:lang w:val="en-US" w:eastAsia="zh-CN" w:bidi="ar"/>
              </w:rPr>
              <w:t>205.09</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3" w:type="dxa"/>
            <w:tcBorders>
              <w:top w:val="nil"/>
              <w:left w:val="nil"/>
              <w:bottom w:val="single" w:color="auto" w:sz="4" w:space="0"/>
              <w:right w:val="nil"/>
            </w:tcBorders>
            <w:shd w:val="clear" w:color="CCCCFF" w:fill="FFFFFF"/>
            <w:vAlign w:val="center"/>
          </w:tcPr>
          <w:p>
            <w:pPr>
              <w:keepNext w:val="0"/>
              <w:keepLines w:val="0"/>
              <w:widowControl/>
              <w:suppressLineNumbers w:val="0"/>
              <w:jc w:val="righ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165.39</w:t>
            </w: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1" w:type="dxa"/>
            <w:tcBorders>
              <w:top w:val="nil"/>
              <w:left w:val="single" w:color="000000" w:sz="4" w:space="0"/>
              <w:bottom w:val="single" w:color="auto" w:sz="4" w:space="0"/>
              <w:right w:val="single" w:color="000000" w:sz="4" w:space="0"/>
            </w:tcBorders>
            <w:shd w:val="clear" w:color="CCCCFF" w:fill="FFFFFF"/>
            <w:noWrap/>
            <w:vAlign w:val="center"/>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1" w:type="dxa"/>
            <w:tcBorders>
              <w:top w:val="nil"/>
              <w:left w:val="nil"/>
              <w:bottom w:val="single" w:color="auto" w:sz="4" w:space="0"/>
              <w:right w:val="single" w:color="000000" w:sz="4" w:space="0"/>
            </w:tcBorders>
            <w:shd w:val="clear" w:color="CCCCFF" w:fill="FFFFFF"/>
            <w:noWrap/>
            <w:vAlign w:val="center"/>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1" w:type="dxa"/>
            <w:tcBorders>
              <w:top w:val="nil"/>
              <w:left w:val="single" w:color="000000" w:sz="4" w:space="0"/>
              <w:bottom w:val="single" w:color="auto" w:sz="4" w:space="0"/>
              <w:right w:val="single" w:color="000000" w:sz="4" w:space="0"/>
            </w:tcBorders>
            <w:shd w:val="clear" w:color="CCCCFF" w:fill="FFFFFF"/>
            <w:noWrap/>
            <w:vAlign w:val="center"/>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1" w:type="dxa"/>
            <w:tcBorders>
              <w:top w:val="nil"/>
              <w:left w:val="single" w:color="000000" w:sz="4" w:space="0"/>
              <w:bottom w:val="single" w:color="auto" w:sz="4" w:space="0"/>
              <w:right w:val="single" w:color="000000" w:sz="4" w:space="0"/>
            </w:tcBorders>
            <w:shd w:val="clear" w:color="CCCCFF" w:fill="FFFFFF"/>
            <w:noWrap/>
            <w:vAlign w:val="center"/>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1" w:type="dxa"/>
            <w:tcBorders>
              <w:top w:val="nil"/>
              <w:left w:val="nil"/>
              <w:bottom w:val="single" w:color="auto" w:sz="4" w:space="0"/>
              <w:right w:val="single" w:color="000000" w:sz="4" w:space="0"/>
            </w:tcBorders>
            <w:shd w:val="clear" w:color="CCCCFF" w:fill="FFFFFF"/>
            <w:noWrap/>
            <w:vAlign w:val="center"/>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1" w:type="dxa"/>
            <w:tcBorders>
              <w:top w:val="nil"/>
              <w:left w:val="nil"/>
              <w:bottom w:val="single" w:color="auto" w:sz="4" w:space="0"/>
              <w:right w:val="single" w:color="000000" w:sz="4" w:space="0"/>
            </w:tcBorders>
            <w:shd w:val="clear" w:color="CCCCFF" w:fill="FFFFFF"/>
            <w:noWrap/>
            <w:vAlign w:val="center"/>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1" w:type="dxa"/>
            <w:tcBorders>
              <w:top w:val="nil"/>
              <w:left w:val="single" w:color="000000" w:sz="4" w:space="0"/>
              <w:bottom w:val="single" w:color="auto" w:sz="4" w:space="0"/>
              <w:right w:val="single" w:color="000000" w:sz="4" w:space="0"/>
            </w:tcBorders>
            <w:shd w:val="clear" w:color="CCCCFF" w:fill="FFFFFF"/>
            <w:noWrap/>
            <w:vAlign w:val="center"/>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3" w:type="dxa"/>
            <w:tcBorders>
              <w:top w:val="nil"/>
              <w:left w:val="nil"/>
              <w:bottom w:val="single" w:color="auto" w:sz="4" w:space="0"/>
              <w:right w:val="nil"/>
            </w:tcBorders>
            <w:shd w:val="clear" w:color="CCCCFF" w:fill="FFFFFF"/>
            <w:vAlign w:val="center"/>
          </w:tcPr>
          <w:p>
            <w:pPr>
              <w:keepNext w:val="0"/>
              <w:keepLines w:val="0"/>
              <w:widowControl/>
              <w:suppressLineNumbers w:val="0"/>
              <w:jc w:val="righ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26.01</w:t>
            </w: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1" w:type="dxa"/>
            <w:tcBorders>
              <w:top w:val="nil"/>
              <w:left w:val="single" w:color="000000" w:sz="4" w:space="0"/>
              <w:bottom w:val="single" w:color="auto" w:sz="4" w:space="0"/>
              <w:right w:val="single" w:color="000000" w:sz="4" w:space="0"/>
            </w:tcBorders>
            <w:shd w:val="clear" w:color="CCCCFF" w:fill="FFFFFF"/>
            <w:noWrap/>
            <w:vAlign w:val="center"/>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nil"/>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3" w:type="dxa"/>
            <w:tcBorders>
              <w:top w:val="nil"/>
              <w:left w:val="nil"/>
              <w:bottom w:val="single" w:color="auto" w:sz="4" w:space="0"/>
              <w:right w:val="nil"/>
            </w:tcBorders>
            <w:shd w:val="clear" w:color="CCCCFF" w:fill="FFFFFF"/>
            <w:vAlign w:val="center"/>
          </w:tcPr>
          <w:p>
            <w:pPr>
              <w:keepNext w:val="0"/>
              <w:keepLines w:val="0"/>
              <w:widowControl/>
              <w:suppressLineNumbers w:val="0"/>
              <w:jc w:val="righ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0.13</w:t>
            </w: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nil"/>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3" w:type="dxa"/>
            <w:tcBorders>
              <w:top w:val="nil"/>
              <w:left w:val="nil"/>
              <w:bottom w:val="single" w:color="auto" w:sz="4" w:space="0"/>
              <w:right w:val="nil"/>
            </w:tcBorders>
            <w:shd w:val="clear" w:color="CCCCFF" w:fill="FFFFFF"/>
            <w:vAlign w:val="center"/>
          </w:tcPr>
          <w:p>
            <w:pPr>
              <w:keepNext w:val="0"/>
              <w:keepLines w:val="0"/>
              <w:widowControl/>
              <w:suppressLineNumbers w:val="0"/>
              <w:jc w:val="righ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13.57</w:t>
            </w: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3" w:type="dxa"/>
            <w:tcBorders>
              <w:top w:val="nil"/>
              <w:left w:val="nil"/>
              <w:bottom w:val="single" w:color="auto" w:sz="4" w:space="0"/>
              <w:right w:val="nil"/>
            </w:tcBorders>
            <w:shd w:val="clear" w:color="CCCCFF"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3" w:type="dxa"/>
            <w:tcBorders>
              <w:top w:val="nil"/>
              <w:left w:val="nil"/>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3" w:type="dxa"/>
            <w:tcBorders>
              <w:top w:val="nil"/>
              <w:left w:val="nil"/>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3" w:type="dxa"/>
            <w:tcBorders>
              <w:top w:val="nil"/>
              <w:left w:val="nil"/>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3" w:type="dxa"/>
            <w:tcBorders>
              <w:top w:val="nil"/>
              <w:left w:val="nil"/>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3" w:type="dxa"/>
            <w:tcBorders>
              <w:top w:val="nil"/>
              <w:left w:val="nil"/>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3" w:type="dxa"/>
            <w:tcBorders>
              <w:top w:val="nil"/>
              <w:left w:val="nil"/>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3" w:type="dxa"/>
            <w:tcBorders>
              <w:top w:val="nil"/>
              <w:left w:val="nil"/>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3" w:type="dxa"/>
            <w:tcBorders>
              <w:top w:val="nil"/>
              <w:left w:val="nil"/>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3" w:type="dxa"/>
            <w:tcBorders>
              <w:top w:val="nil"/>
              <w:left w:val="nil"/>
              <w:bottom w:val="single" w:color="auto" w:sz="4" w:space="0"/>
              <w:right w:val="nil"/>
            </w:tcBorders>
            <w:shd w:val="clear" w:color="auto" w:fill="auto"/>
            <w:noWrap/>
            <w:vAlign w:val="center"/>
          </w:tcPr>
          <w:p>
            <w:pPr>
              <w:rPr>
                <w:rFonts w:hint="eastAsia" w:ascii="仿宋" w:hAnsi="仿宋" w:eastAsia="仿宋" w:cs="仿宋"/>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1" w:type="dxa"/>
            <w:tcBorders>
              <w:top w:val="nil"/>
              <w:left w:val="single" w:color="000000" w:sz="4" w:space="0"/>
              <w:bottom w:val="single" w:color="auto" w:sz="4" w:space="0"/>
              <w:right w:val="single" w:color="000000" w:sz="4" w:space="0"/>
            </w:tcBorders>
            <w:shd w:val="clear" w:color="CCCCFF" w:fill="FFFFFF"/>
            <w:noWrap/>
            <w:vAlign w:val="center"/>
          </w:tcPr>
          <w:p>
            <w:pPr>
              <w:jc w:val="center"/>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205.09</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3" w:type="dxa"/>
            <w:tcBorders>
              <w:top w:val="nil"/>
              <w:left w:val="nil"/>
              <w:bottom w:val="single" w:color="auto" w:sz="4" w:space="0"/>
              <w:right w:val="nil"/>
            </w:tcBorders>
            <w:shd w:val="clear" w:color="CCCCFF" w:fill="FFFFFF"/>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205.09</w:t>
            </w: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3" w:type="dxa"/>
            <w:tcBorders>
              <w:top w:val="nil"/>
              <w:left w:val="nil"/>
              <w:bottom w:val="single" w:color="auto" w:sz="4" w:space="0"/>
              <w:right w:val="nil"/>
            </w:tcBorders>
            <w:shd w:val="clear" w:color="auto" w:fill="auto"/>
            <w:noWrap/>
            <w:vAlign w:val="center"/>
          </w:tcPr>
          <w:p>
            <w:pPr>
              <w:rPr>
                <w:rFonts w:ascii="宋体" w:hAnsi="宋体"/>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1" w:type="dxa"/>
            <w:tcBorders>
              <w:top w:val="nil"/>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三十一、结转下年</w:t>
            </w:r>
          </w:p>
        </w:tc>
        <w:tc>
          <w:tcPr>
            <w:tcW w:w="1413" w:type="dxa"/>
            <w:tcBorders>
              <w:top w:val="nil"/>
              <w:left w:val="nil"/>
              <w:bottom w:val="single" w:color="auto" w:sz="4" w:space="0"/>
              <w:right w:val="nil"/>
            </w:tcBorders>
            <w:shd w:val="clear" w:color="CCCCFF" w:fill="FFFFFF"/>
            <w:vAlign w:val="center"/>
          </w:tcPr>
          <w:p>
            <w:pPr>
              <w:keepNext w:val="0"/>
              <w:keepLines w:val="0"/>
              <w:widowControl/>
              <w:suppressLineNumbers w:val="0"/>
              <w:jc w:val="center"/>
              <w:textAlignment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1" w:type="dxa"/>
            <w:tcBorders>
              <w:top w:val="nil"/>
              <w:left w:val="single" w:color="000000" w:sz="4" w:space="0"/>
              <w:bottom w:val="single" w:color="auto" w:sz="4" w:space="0"/>
              <w:right w:val="single" w:color="000000" w:sz="4" w:space="0"/>
            </w:tcBorders>
            <w:shd w:val="clear" w:color="auto" w:fill="FFFFFF"/>
            <w:vAlign w:val="center"/>
          </w:tcPr>
          <w:p>
            <w:pPr>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3" w:type="dxa"/>
            <w:tcBorders>
              <w:top w:val="nil"/>
              <w:left w:val="nil"/>
              <w:bottom w:val="single" w:color="auto" w:sz="4" w:space="0"/>
              <w:right w:val="nil"/>
            </w:tcBorders>
            <w:shd w:val="clear" w:color="auto" w:fill="auto"/>
            <w:noWrap/>
            <w:vAlign w:val="center"/>
          </w:tcPr>
          <w:p>
            <w:pPr>
              <w:rPr>
                <w:rFonts w:ascii="宋体" w:hAnsi="宋体" w:cs="Arial"/>
                <w:color w:val="000000"/>
                <w:kern w:val="0"/>
                <w:sz w:val="18"/>
                <w:szCs w:val="18"/>
              </w:rPr>
            </w:pPr>
          </w:p>
        </w:tc>
      </w:tr>
      <w:tr>
        <w:tblPrEx>
          <w:tblCellMar>
            <w:top w:w="0" w:type="dxa"/>
            <w:left w:w="108" w:type="dxa"/>
            <w:bottom w:w="0" w:type="dxa"/>
            <w:right w:w="108" w:type="dxa"/>
          </w:tblCellMar>
        </w:tblPrEx>
        <w:trPr>
          <w:trHeight w:val="274" w:hRule="atLeast"/>
        </w:trPr>
        <w:tc>
          <w:tcPr>
            <w:tcW w:w="3369"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1" w:type="dxa"/>
            <w:tcBorders>
              <w:top w:val="nil"/>
              <w:left w:val="single" w:color="000000" w:sz="4" w:space="0"/>
              <w:bottom w:val="single" w:color="auto" w:sz="4" w:space="0"/>
              <w:right w:val="single" w:color="000000" w:sz="4" w:space="0"/>
            </w:tcBorders>
            <w:shd w:val="clear" w:color="auto" w:fill="auto"/>
            <w:vAlign w:val="center"/>
          </w:tcPr>
          <w:p>
            <w:pPr>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3" w:type="dxa"/>
            <w:tcBorders>
              <w:top w:val="nil"/>
              <w:left w:val="nil"/>
              <w:bottom w:val="single" w:color="auto" w:sz="4" w:space="0"/>
              <w:right w:val="nil"/>
            </w:tcBorders>
            <w:shd w:val="clear" w:color="auto" w:fill="auto"/>
            <w:noWrap/>
            <w:vAlign w:val="center"/>
          </w:tcPr>
          <w:p>
            <w:pPr>
              <w:rPr>
                <w:rFonts w:ascii="宋体" w:hAnsi="宋体" w:cs="Arial"/>
                <w:color w:val="000000"/>
                <w:kern w:val="0"/>
                <w:sz w:val="18"/>
                <w:szCs w:val="18"/>
              </w:rPr>
            </w:pPr>
          </w:p>
        </w:tc>
      </w:tr>
      <w:tr>
        <w:tblPrEx>
          <w:tblCellMar>
            <w:top w:w="0" w:type="dxa"/>
            <w:left w:w="108" w:type="dxa"/>
            <w:bottom w:w="0" w:type="dxa"/>
            <w:right w:w="108" w:type="dxa"/>
          </w:tblCellMar>
        </w:tblPrEx>
        <w:trPr>
          <w:trHeight w:val="274" w:hRule="atLeast"/>
        </w:trPr>
        <w:tc>
          <w:tcPr>
            <w:tcW w:w="3369"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1" w:type="dxa"/>
            <w:tcBorders>
              <w:top w:val="nil"/>
              <w:left w:val="single" w:color="000000" w:sz="4" w:space="0"/>
              <w:bottom w:val="nil"/>
              <w:right w:val="single" w:color="000000" w:sz="4" w:space="0"/>
            </w:tcBorders>
            <w:shd w:val="clear" w:color="CCCCFF" w:fill="FFFFFF"/>
            <w:noWrap/>
            <w:vAlign w:val="center"/>
          </w:tcPr>
          <w:p>
            <w:pPr>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205.09</w:t>
            </w:r>
          </w:p>
        </w:tc>
        <w:tc>
          <w:tcPr>
            <w:tcW w:w="3236"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3" w:type="dxa"/>
            <w:tcBorders>
              <w:top w:val="nil"/>
              <w:left w:val="single" w:color="000000" w:sz="4" w:space="0"/>
              <w:bottom w:val="nil"/>
              <w:right w:val="nil"/>
            </w:tcBorders>
            <w:shd w:val="clear" w:color="CCCCFF" w:fill="FFFFFF"/>
            <w:vAlign w:val="center"/>
          </w:tcPr>
          <w:p>
            <w:pPr>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205.09</w:t>
            </w:r>
          </w:p>
        </w:tc>
      </w:tr>
    </w:tbl>
    <w:p>
      <w:pPr>
        <w:ind w:firstLine="8820" w:firstLineChars="4900"/>
        <w:jc w:val="both"/>
        <w:rPr>
          <w:rFonts w:ascii="宋体" w:hAnsi="宋体" w:cs="Arial"/>
          <w:color w:val="000000"/>
          <w:kern w:val="0"/>
          <w:sz w:val="18"/>
          <w:szCs w:val="18"/>
        </w:rPr>
      </w:pPr>
      <w:r>
        <w:rPr>
          <w:rFonts w:hint="eastAsia" w:ascii="宋体" w:hAnsi="宋体" w:cs="Arial"/>
          <w:color w:val="000000"/>
          <w:kern w:val="0"/>
          <w:sz w:val="18"/>
          <w:szCs w:val="18"/>
        </w:rPr>
        <w:t>单位：万元</w:t>
      </w:r>
    </w:p>
    <w:p>
      <w:pPr>
        <w:widowControl/>
        <w:spacing w:line="560" w:lineRule="exact"/>
        <w:ind w:firstLine="360" w:firstLineChars="200"/>
        <w:jc w:val="left"/>
        <w:rPr>
          <w:rFonts w:ascii="仿宋_GB2312" w:hAnsi="微软雅黑" w:eastAsia="仿宋_GB2312"/>
          <w:sz w:val="18"/>
          <w:szCs w:val="18"/>
        </w:rPr>
        <w:sectPr>
          <w:pgSz w:w="11906" w:h="16838"/>
          <w:pgMar w:top="71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205.09</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二、政府性基金预算财政拨款收入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三、国有资本经营预算收入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b/>
                <w:color w:val="000000"/>
                <w:sz w:val="18"/>
                <w:szCs w:val="18"/>
              </w:rPr>
              <w:t>四、教育专户核算</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七、附属单位上缴收入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205.09</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205.09</w:t>
            </w:r>
          </w:p>
        </w:tc>
      </w:tr>
    </w:tbl>
    <w:p>
      <w:pPr>
        <w:widowControl/>
        <w:spacing w:line="560" w:lineRule="exact"/>
        <w:ind w:firstLine="360" w:firstLineChars="200"/>
        <w:jc w:val="left"/>
        <w:rPr>
          <w:rFonts w:ascii="宋体" w:hAnsi="宋体"/>
          <w:bCs/>
          <w:color w:val="000000"/>
          <w:sz w:val="18"/>
          <w:szCs w:val="18"/>
        </w:rPr>
      </w:pPr>
      <w:r>
        <w:rPr>
          <w:rFonts w:hint="eastAsia" w:ascii="宋体" w:hAnsi="宋体"/>
          <w:bCs/>
          <w:color w:val="000000"/>
          <w:sz w:val="18"/>
          <w:szCs w:val="18"/>
        </w:rPr>
        <w:t>备注：无内容应公开空表并说明情况。</w:t>
      </w:r>
    </w:p>
    <w:p>
      <w:pPr>
        <w:tabs>
          <w:tab w:val="left" w:pos="1272"/>
        </w:tabs>
        <w:rPr>
          <w:rFonts w:ascii="仿宋_GB2312" w:hAnsi="微软雅黑" w:eastAsia="仿宋_GB2312"/>
          <w:sz w:val="18"/>
          <w:szCs w:val="18"/>
        </w:rPr>
      </w:pPr>
      <w:r>
        <w:rPr>
          <w:rFonts w:ascii="仿宋_GB2312" w:hAnsi="微软雅黑" w:eastAsia="仿宋_GB2312"/>
          <w:sz w:val="18"/>
          <w:szCs w:val="18"/>
        </w:rPr>
        <w:tab/>
      </w:r>
    </w:p>
    <w:p>
      <w:pPr>
        <w:tabs>
          <w:tab w:val="left" w:pos="12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712" w:type="dxa"/>
        <w:jc w:val="center"/>
        <w:tblLayout w:type="autofit"/>
        <w:tblCellMar>
          <w:top w:w="0" w:type="dxa"/>
          <w:left w:w="108" w:type="dxa"/>
          <w:bottom w:w="0" w:type="dxa"/>
          <w:right w:w="108" w:type="dxa"/>
        </w:tblCellMar>
      </w:tblPr>
      <w:tblGrid>
        <w:gridCol w:w="3588"/>
        <w:gridCol w:w="1531"/>
        <w:gridCol w:w="1531"/>
        <w:gridCol w:w="1531"/>
        <w:gridCol w:w="1531"/>
      </w:tblGrid>
      <w:tr>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合计</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205.09</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205.09</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合计</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205.09</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一般公共服务支出</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165.39</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165.39</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一般公共服务支出</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165.39</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民族事务</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165.39</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165.39</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民族事务</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165.39</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事业运行</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165.39</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165.39</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事业运行</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165.39</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社会保障和就业支出</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26.01</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26.01</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社会保障和就业支出</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26.01</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行政事业单位养老支出</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26.01</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26.01</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行政事业单位养老支出</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26.01</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26.01</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26.01</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26.01</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卫生健康支出</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0.13</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0.13</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卫生健康支出</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0.13</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行政事业单位医疗</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0.13</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0.13</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行政事业单位医疗</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0.13</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事业单位医疗</w:t>
            </w:r>
          </w:p>
        </w:tc>
        <w:tc>
          <w:tcPr>
            <w:tcW w:w="1531" w:type="dxa"/>
            <w:tcBorders>
              <w:top w:val="nil"/>
              <w:left w:val="nil"/>
              <w:bottom w:val="nil"/>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0.13</w:t>
            </w:r>
          </w:p>
        </w:tc>
        <w:tc>
          <w:tcPr>
            <w:tcW w:w="1531" w:type="dxa"/>
            <w:tcBorders>
              <w:top w:val="nil"/>
              <w:left w:val="nil"/>
              <w:bottom w:val="nil"/>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0.13</w:t>
            </w:r>
          </w:p>
        </w:tc>
        <w:tc>
          <w:tcPr>
            <w:tcW w:w="153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事业单位医疗</w:t>
            </w:r>
          </w:p>
        </w:tc>
        <w:tc>
          <w:tcPr>
            <w:tcW w:w="1531" w:type="dxa"/>
            <w:tcBorders>
              <w:top w:val="nil"/>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0.13</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住房保障支出</w:t>
            </w:r>
          </w:p>
        </w:tc>
        <w:tc>
          <w:tcPr>
            <w:tcW w:w="1531" w:type="dxa"/>
            <w:tcBorders>
              <w:top w:val="nil"/>
              <w:left w:val="nil"/>
              <w:bottom w:val="nil"/>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13.57</w:t>
            </w:r>
          </w:p>
        </w:tc>
        <w:tc>
          <w:tcPr>
            <w:tcW w:w="1531" w:type="dxa"/>
            <w:tcBorders>
              <w:top w:val="nil"/>
              <w:left w:val="nil"/>
              <w:bottom w:val="nil"/>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13.57</w:t>
            </w:r>
          </w:p>
        </w:tc>
        <w:tc>
          <w:tcPr>
            <w:tcW w:w="153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住房保障支出</w:t>
            </w:r>
          </w:p>
        </w:tc>
        <w:tc>
          <w:tcPr>
            <w:tcW w:w="1531" w:type="dxa"/>
            <w:tcBorders>
              <w:top w:val="nil"/>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13.57</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住房改革支出</w:t>
            </w:r>
          </w:p>
        </w:tc>
        <w:tc>
          <w:tcPr>
            <w:tcW w:w="1531" w:type="dxa"/>
            <w:tcBorders>
              <w:top w:val="nil"/>
              <w:left w:val="nil"/>
              <w:bottom w:val="nil"/>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13.57</w:t>
            </w:r>
          </w:p>
        </w:tc>
        <w:tc>
          <w:tcPr>
            <w:tcW w:w="1531" w:type="dxa"/>
            <w:tcBorders>
              <w:top w:val="nil"/>
              <w:left w:val="nil"/>
              <w:bottom w:val="nil"/>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13.57</w:t>
            </w:r>
          </w:p>
        </w:tc>
        <w:tc>
          <w:tcPr>
            <w:tcW w:w="153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住房改革支出</w:t>
            </w:r>
          </w:p>
        </w:tc>
        <w:tc>
          <w:tcPr>
            <w:tcW w:w="1531" w:type="dxa"/>
            <w:tcBorders>
              <w:top w:val="nil"/>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13.57</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住房公积金</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13.57</w:t>
            </w:r>
          </w:p>
        </w:tc>
        <w:tc>
          <w:tcPr>
            <w:tcW w:w="15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13.57</w:t>
            </w:r>
          </w:p>
        </w:tc>
        <w:tc>
          <w:tcPr>
            <w:tcW w:w="1531"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住房公积金</w:t>
            </w:r>
          </w:p>
        </w:tc>
        <w:tc>
          <w:tcPr>
            <w:tcW w:w="1531" w:type="dxa"/>
            <w:tcBorders>
              <w:top w:val="nil"/>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13.57</w:t>
            </w: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4056"/>
        </w:tabs>
        <w:rPr>
          <w:rFonts w:ascii="仿宋_GB2312" w:hAnsi="微软雅黑" w:eastAsia="仿宋_GB2312"/>
          <w:sz w:val="18"/>
          <w:szCs w:val="18"/>
        </w:rPr>
      </w:pPr>
      <w:r>
        <w:rPr>
          <w:rFonts w:ascii="仿宋_GB2312" w:hAnsi="微软雅黑" w:eastAsia="仿宋_GB2312"/>
          <w:sz w:val="18"/>
          <w:szCs w:val="18"/>
        </w:rPr>
        <w:tab/>
      </w:r>
    </w:p>
    <w:p>
      <w:pPr>
        <w:tabs>
          <w:tab w:val="left" w:pos="4056"/>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802" w:type="dxa"/>
        <w:jc w:val="center"/>
        <w:tblLayout w:type="autofit"/>
        <w:tblCellMar>
          <w:top w:w="0" w:type="dxa"/>
          <w:left w:w="108" w:type="dxa"/>
          <w:bottom w:w="0" w:type="dxa"/>
          <w:right w:w="108" w:type="dxa"/>
        </w:tblCellMar>
      </w:tblPr>
      <w:tblGrid>
        <w:gridCol w:w="3195"/>
        <w:gridCol w:w="1363"/>
        <w:gridCol w:w="3882"/>
        <w:gridCol w:w="1362"/>
      </w:tblGrid>
      <w:tr>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205.09</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205.09</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hAnsi="宋体" w:eastAsia="宋体"/>
                <w:sz w:val="18"/>
                <w:szCs w:val="18"/>
                <w:lang w:val="en-US" w:eastAsia="zh-CN"/>
              </w:rPr>
            </w:pPr>
            <w:r>
              <w:rPr>
                <w:rFonts w:hint="eastAsia" w:ascii="宋体" w:hAnsi="宋体"/>
                <w:sz w:val="18"/>
                <w:szCs w:val="18"/>
                <w:lang w:val="en-US" w:eastAsia="zh-CN"/>
              </w:rPr>
              <w:t>205.09</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righ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165.39</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righ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26.01</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hint="eastAsia" w:ascii="仿宋" w:hAnsi="仿宋" w:eastAsia="仿宋" w:cs="仿宋"/>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right"/>
              <w:textAlignment w:val="center"/>
              <w:rPr>
                <w:rFonts w:hint="eastAsia" w:ascii="仿宋" w:hAnsi="仿宋" w:eastAsia="仿宋" w:cs="仿宋"/>
                <w:sz w:val="18"/>
                <w:szCs w:val="18"/>
              </w:rPr>
            </w:pPr>
            <w:r>
              <w:rPr>
                <w:rFonts w:hint="eastAsia" w:ascii="仿宋" w:hAnsi="仿宋" w:eastAsia="仿宋" w:cs="仿宋"/>
                <w:i w:val="0"/>
                <w:iCs w:val="0"/>
                <w:color w:val="000000"/>
                <w:kern w:val="0"/>
                <w:sz w:val="18"/>
                <w:szCs w:val="18"/>
                <w:u w:val="none"/>
                <w:lang w:val="en-US" w:eastAsia="zh-CN" w:bidi="ar"/>
              </w:rPr>
              <w:t>0.13</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right"/>
              <w:textAlignment w:val="center"/>
              <w:rPr>
                <w:rFonts w:hint="default" w:ascii="宋体" w:hAnsi="宋体"/>
                <w:sz w:val="18"/>
                <w:szCs w:val="18"/>
                <w:lang w:val="en-US"/>
              </w:rPr>
            </w:pPr>
            <w:r>
              <w:rPr>
                <w:rFonts w:hint="eastAsia" w:ascii="仿宋" w:hAnsi="仿宋" w:eastAsia="仿宋" w:cs="仿宋"/>
                <w:i w:val="0"/>
                <w:iCs w:val="0"/>
                <w:color w:val="000000"/>
                <w:kern w:val="0"/>
                <w:sz w:val="18"/>
                <w:szCs w:val="18"/>
                <w:u w:val="none"/>
                <w:lang w:val="en-US" w:eastAsia="zh-CN" w:bidi="ar"/>
              </w:rPr>
              <w:t>13.57</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205.09</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pPr>
              <w:keepNext w:val="0"/>
              <w:keepLines w:val="0"/>
              <w:widowControl/>
              <w:suppressLineNumbers w:val="0"/>
              <w:jc w:val="right"/>
              <w:textAlignment w:val="center"/>
              <w:rPr>
                <w:rFonts w:ascii="宋体" w:hAnsi="宋体" w:cs="Arial"/>
                <w:b/>
                <w:color w:val="000000"/>
                <w:kern w:val="0"/>
                <w:sz w:val="18"/>
                <w:szCs w:val="18"/>
              </w:rPr>
            </w:pPr>
            <w:r>
              <w:rPr>
                <w:rFonts w:ascii="宋体" w:hAnsi="宋体" w:eastAsia="宋体" w:cs="宋体"/>
                <w:b/>
                <w:bCs/>
                <w:i w:val="0"/>
                <w:iCs w:val="0"/>
                <w:color w:val="000000"/>
                <w:kern w:val="0"/>
                <w:sz w:val="18"/>
                <w:szCs w:val="18"/>
                <w:u w:val="none"/>
                <w:lang w:val="en-US" w:eastAsia="zh-CN" w:bidi="ar"/>
              </w:rPr>
              <w:t>205.09</w:t>
            </w:r>
          </w:p>
        </w:tc>
      </w:tr>
    </w:tbl>
    <w:p>
      <w:pPr>
        <w:widowControl/>
        <w:spacing w:line="560" w:lineRule="exact"/>
        <w:ind w:firstLine="360" w:firstLineChars="200"/>
        <w:jc w:val="left"/>
        <w:rPr>
          <w:rFonts w:ascii="宋体" w:hAnsi="宋体" w:cs="Arial"/>
          <w:bCs/>
          <w:color w:val="000000"/>
          <w:kern w:val="0"/>
          <w:sz w:val="18"/>
          <w:szCs w:val="18"/>
        </w:rPr>
      </w:pPr>
      <w:r>
        <w:rPr>
          <w:rFonts w:hint="eastAsia" w:ascii="宋体" w:hAnsi="宋体" w:cs="Arial"/>
          <w:bCs/>
          <w:color w:val="000000"/>
          <w:kern w:val="0"/>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784"/>
        </w:tabs>
        <w:rPr>
          <w:rFonts w:ascii="仿宋_GB2312" w:hAnsi="微软雅黑" w:eastAsia="仿宋_GB2312"/>
          <w:sz w:val="18"/>
          <w:szCs w:val="18"/>
        </w:rPr>
      </w:pPr>
    </w:p>
    <w:p>
      <w:pPr>
        <w:tabs>
          <w:tab w:val="left" w:pos="2784"/>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tblPrEx>
          <w:tblCellMar>
            <w:top w:w="0" w:type="dxa"/>
            <w:left w:w="108" w:type="dxa"/>
            <w:bottom w:w="0" w:type="dxa"/>
            <w:right w:w="108" w:type="dxa"/>
          </w:tblCellMar>
        </w:tblPrEx>
        <w:trPr>
          <w:trHeight w:val="20" w:hRule="atLeast"/>
          <w:tblHeader/>
          <w:jc w:val="center"/>
        </w:trPr>
        <w:tc>
          <w:tcPr>
            <w:tcW w:w="390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16"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tblPrEx>
          <w:tblCellMar>
            <w:top w:w="0" w:type="dxa"/>
            <w:left w:w="108" w:type="dxa"/>
            <w:bottom w:w="0" w:type="dxa"/>
            <w:right w:w="108" w:type="dxa"/>
          </w:tblCellMar>
        </w:tblPrEx>
        <w:trPr>
          <w:trHeight w:val="20" w:hRule="atLeast"/>
          <w:tblHeader/>
          <w:jc w:val="center"/>
        </w:trPr>
        <w:tc>
          <w:tcPr>
            <w:tcW w:w="39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390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ascii="宋体" w:hAnsi="宋体" w:eastAsia="宋体" w:cs="宋体"/>
                <w:i w:val="0"/>
                <w:iCs w:val="0"/>
                <w:color w:val="000000"/>
                <w:kern w:val="0"/>
                <w:sz w:val="18"/>
                <w:szCs w:val="18"/>
                <w:u w:val="none"/>
                <w:lang w:val="en-US" w:eastAsia="zh-CN" w:bidi="ar"/>
              </w:rPr>
              <w:t>积石山县佛教协会</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r>
      <w:tr>
        <w:tblPrEx>
          <w:tblCellMar>
            <w:top w:w="0" w:type="dxa"/>
            <w:left w:w="108" w:type="dxa"/>
            <w:bottom w:w="0" w:type="dxa"/>
            <w:right w:w="108" w:type="dxa"/>
          </w:tblCellMar>
        </w:tblPrEx>
        <w:trPr>
          <w:trHeight w:val="20" w:hRule="atLeast"/>
          <w:jc w:val="center"/>
        </w:trPr>
        <w:tc>
          <w:tcPr>
            <w:tcW w:w="3905" w:type="dxa"/>
            <w:tcBorders>
              <w:top w:val="single" w:color="000000" w:sz="4" w:space="0"/>
              <w:left w:val="nil"/>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合计</w:t>
            </w:r>
          </w:p>
        </w:tc>
        <w:tc>
          <w:tcPr>
            <w:tcW w:w="106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205.09</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205.09</w:t>
            </w: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205.09</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jc w:val="right"/>
              <w:rPr>
                <w:rFonts w:ascii="宋体" w:hAnsi="宋体" w:cs="Arial"/>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nil"/>
            </w:tcBorders>
            <w:shd w:val="clear" w:color="FFFFFF" w:fill="FFFFFF"/>
            <w:noWrap/>
            <w:tcMar>
              <w:left w:w="0" w:type="dxa"/>
              <w:right w:w="28" w:type="dxa"/>
            </w:tcMar>
            <w:vAlign w:val="cente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积石山县佛教协会</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205.09</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205.09</w:t>
            </w: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205.09</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vAlign w:val="center"/>
          </w:tcPr>
          <w:p>
            <w:pPr>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积石山县佛教协会</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205.09</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205.09</w:t>
            </w: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205.09</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vAlign w:val="center"/>
          </w:tcPr>
          <w:p>
            <w:pPr>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000000"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nil"/>
            </w:tcBorders>
            <w:shd w:val="clear" w:color="FFFFFF" w:fill="FFFFFF"/>
            <w:noWrap/>
            <w:tcMar>
              <w:left w:w="0" w:type="dxa"/>
              <w:right w:w="28" w:type="dxa"/>
            </w:tcMar>
          </w:tcPr>
          <w:p>
            <w:pPr>
              <w:jc w:val="right"/>
              <w:rPr>
                <w:rFonts w:ascii="宋体" w:hAnsi="宋体" w:cs="Arial"/>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3936"/>
        </w:tabs>
        <w:rPr>
          <w:rFonts w:ascii="仿宋_GB2312" w:hAnsi="微软雅黑" w:eastAsia="仿宋_GB2312"/>
          <w:sz w:val="18"/>
          <w:szCs w:val="18"/>
        </w:rPr>
      </w:pPr>
      <w:r>
        <w:rPr>
          <w:rFonts w:ascii="仿宋_GB2312" w:hAnsi="微软雅黑" w:eastAsia="仿宋_GB2312"/>
          <w:sz w:val="18"/>
          <w:szCs w:val="18"/>
        </w:rPr>
        <w:tab/>
      </w:r>
    </w:p>
    <w:p>
      <w:pPr>
        <w:tabs>
          <w:tab w:val="left" w:pos="3936"/>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591" w:type="dxa"/>
        <w:jc w:val="center"/>
        <w:tblLayout w:type="autofit"/>
        <w:tblCellMar>
          <w:top w:w="0" w:type="dxa"/>
          <w:left w:w="108" w:type="dxa"/>
          <w:bottom w:w="0" w:type="dxa"/>
          <w:right w:w="108" w:type="dxa"/>
        </w:tblCellMar>
      </w:tblPr>
      <w:tblGrid>
        <w:gridCol w:w="1074"/>
        <w:gridCol w:w="4253"/>
        <w:gridCol w:w="1417"/>
        <w:gridCol w:w="1418"/>
        <w:gridCol w:w="1429"/>
      </w:tblGrid>
      <w:tr>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Arial"/>
                <w:b/>
                <w:color w:val="000000"/>
                <w:kern w:val="0"/>
                <w:sz w:val="18"/>
                <w:szCs w:val="18"/>
              </w:rPr>
            </w:pPr>
          </w:p>
        </w:tc>
        <w:tc>
          <w:tcPr>
            <w:tcW w:w="42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Arial"/>
                <w:b/>
                <w:color w:val="000000"/>
                <w:kern w:val="0"/>
                <w:sz w:val="18"/>
                <w:szCs w:val="18"/>
              </w:rPr>
            </w:pPr>
            <w:r>
              <w:rPr>
                <w:rFonts w:ascii="宋体" w:hAnsi="宋体" w:eastAsia="宋体" w:cs="宋体"/>
                <w:b/>
                <w:bCs/>
                <w:i w:val="0"/>
                <w:iCs w:val="0"/>
                <w:color w:val="000000"/>
                <w:kern w:val="0"/>
                <w:sz w:val="18"/>
                <w:szCs w:val="18"/>
                <w:u w:val="none"/>
                <w:lang w:val="en-US" w:eastAsia="zh-CN" w:bidi="ar"/>
              </w:rPr>
              <w:t>合计</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b/>
                <w:color w:val="000000"/>
                <w:kern w:val="0"/>
                <w:sz w:val="18"/>
                <w:szCs w:val="18"/>
              </w:rPr>
            </w:pPr>
            <w:r>
              <w:rPr>
                <w:rFonts w:ascii="宋体" w:hAnsi="宋体" w:eastAsia="宋体" w:cs="宋体"/>
                <w:b/>
                <w:bCs/>
                <w:i w:val="0"/>
                <w:iCs w:val="0"/>
                <w:color w:val="000000"/>
                <w:kern w:val="0"/>
                <w:sz w:val="18"/>
                <w:szCs w:val="18"/>
                <w:u w:val="none"/>
                <w:lang w:val="en-US" w:eastAsia="zh-CN" w:bidi="ar"/>
              </w:rPr>
              <w:t>205.09</w:t>
            </w:r>
          </w:p>
        </w:tc>
        <w:tc>
          <w:tcPr>
            <w:tcW w:w="14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b/>
                <w:color w:val="000000"/>
                <w:kern w:val="0"/>
                <w:sz w:val="18"/>
                <w:szCs w:val="18"/>
              </w:rPr>
            </w:pPr>
            <w:r>
              <w:rPr>
                <w:rFonts w:ascii="宋体" w:hAnsi="宋体" w:eastAsia="宋体" w:cs="宋体"/>
                <w:b/>
                <w:bCs/>
                <w:i w:val="0"/>
                <w:iCs w:val="0"/>
                <w:color w:val="000000"/>
                <w:kern w:val="0"/>
                <w:sz w:val="18"/>
                <w:szCs w:val="18"/>
                <w:u w:val="none"/>
                <w:lang w:val="en-US" w:eastAsia="zh-CN" w:bidi="ar"/>
              </w:rPr>
              <w:t>205.088826</w:t>
            </w:r>
          </w:p>
        </w:tc>
        <w:tc>
          <w:tcPr>
            <w:tcW w:w="1429" w:type="dxa"/>
            <w:tcBorders>
              <w:top w:val="nil"/>
              <w:left w:val="nil"/>
              <w:bottom w:val="single" w:color="000000" w:sz="4" w:space="0"/>
              <w:right w:val="nil"/>
            </w:tcBorders>
            <w:shd w:val="clear" w:color="auto" w:fill="auto"/>
            <w:noWrap/>
            <w:vAlign w:val="center"/>
          </w:tcPr>
          <w:p>
            <w:pPr>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201</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一般公共服务支出</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165.385146</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165.385146</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20123</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民族事务</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165.385146</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165.385146</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2012350</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事业运行</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165.385146</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165.385146</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208</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社会保障和就业支出</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26.005824</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26.005824</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20805</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行政事业单位养老支出</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26.005824</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26.005824</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2080505</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26.005824</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26.005824</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210</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卫生健康支出</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0.1296</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0.1296</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21011</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行政事业单位医疗</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0.1296</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0.1296</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2101102</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事业单位医疗</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0.1296</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0.1296</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221</w:t>
            </w: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住房保障支出</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13.568256</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13.568256</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22102</w:t>
            </w:r>
          </w:p>
        </w:tc>
        <w:tc>
          <w:tcPr>
            <w:tcW w:w="4253"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住房改革支出</w:t>
            </w:r>
          </w:p>
        </w:tc>
        <w:tc>
          <w:tcPr>
            <w:tcW w:w="141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13.568256</w:t>
            </w:r>
          </w:p>
        </w:tc>
        <w:tc>
          <w:tcPr>
            <w:tcW w:w="1418"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13.568256</w:t>
            </w:r>
          </w:p>
        </w:tc>
        <w:tc>
          <w:tcPr>
            <w:tcW w:w="1429" w:type="dxa"/>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2210201</w:t>
            </w:r>
          </w:p>
        </w:tc>
        <w:tc>
          <w:tcPr>
            <w:tcW w:w="4253"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住房公积金</w:t>
            </w:r>
          </w:p>
        </w:tc>
        <w:tc>
          <w:tcPr>
            <w:tcW w:w="141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13.568256</w:t>
            </w:r>
          </w:p>
        </w:tc>
        <w:tc>
          <w:tcPr>
            <w:tcW w:w="1418"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13.568256</w:t>
            </w:r>
          </w:p>
        </w:tc>
        <w:tc>
          <w:tcPr>
            <w:tcW w:w="1429" w:type="dxa"/>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eastAsia="宋体" w:cs="宋体"/>
                <w:b/>
                <w:bCs/>
                <w:i w:val="0"/>
                <w:iCs w:val="0"/>
                <w:color w:val="000000"/>
                <w:kern w:val="0"/>
                <w:sz w:val="18"/>
                <w:szCs w:val="18"/>
                <w:u w:val="none"/>
                <w:lang w:val="en-US" w:eastAsia="zh-CN" w:bidi="ar"/>
              </w:rPr>
            </w:pPr>
          </w:p>
        </w:tc>
        <w:tc>
          <w:tcPr>
            <w:tcW w:w="425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合计</w:t>
            </w:r>
          </w:p>
        </w:tc>
        <w:tc>
          <w:tcPr>
            <w:tcW w:w="14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205.09</w:t>
            </w:r>
          </w:p>
        </w:tc>
        <w:tc>
          <w:tcPr>
            <w:tcW w:w="1418"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205.088826</w:t>
            </w:r>
          </w:p>
        </w:tc>
        <w:tc>
          <w:tcPr>
            <w:tcW w:w="1429"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472"/>
        </w:tabs>
        <w:rPr>
          <w:rFonts w:ascii="仿宋_GB2312" w:hAnsi="微软雅黑" w:eastAsia="仿宋_GB2312"/>
          <w:sz w:val="18"/>
          <w:szCs w:val="18"/>
        </w:rPr>
      </w:pPr>
      <w:r>
        <w:rPr>
          <w:rFonts w:ascii="仿宋_GB2312" w:hAnsi="微软雅黑" w:eastAsia="仿宋_GB2312"/>
          <w:sz w:val="18"/>
          <w:szCs w:val="18"/>
        </w:rPr>
        <w:tab/>
      </w:r>
    </w:p>
    <w:p>
      <w:pPr>
        <w:tabs>
          <w:tab w:val="left" w:pos="24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599" w:type="dxa"/>
        <w:jc w:val="center"/>
        <w:tblLayout w:type="autofit"/>
        <w:tblCellMar>
          <w:top w:w="0" w:type="dxa"/>
          <w:left w:w="108" w:type="dxa"/>
          <w:bottom w:w="0" w:type="dxa"/>
          <w:right w:w="108" w:type="dxa"/>
        </w:tblCellMar>
      </w:tblPr>
      <w:tblGrid>
        <w:gridCol w:w="967"/>
        <w:gridCol w:w="4341"/>
        <w:gridCol w:w="1590"/>
        <w:gridCol w:w="1447"/>
        <w:gridCol w:w="1254"/>
      </w:tblGrid>
      <w:tr>
        <w:tblPrEx>
          <w:tblCellMar>
            <w:top w:w="0" w:type="dxa"/>
            <w:left w:w="108" w:type="dxa"/>
            <w:bottom w:w="0" w:type="dxa"/>
            <w:right w:w="108" w:type="dxa"/>
          </w:tblCellMar>
        </w:tblPrEx>
        <w:trPr>
          <w:trHeight w:val="317" w:hRule="atLeast"/>
          <w:tblHeader/>
          <w:jc w:val="center"/>
        </w:trPr>
        <w:tc>
          <w:tcPr>
            <w:tcW w:w="530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91"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tblPrEx>
          <w:tblCellMar>
            <w:top w:w="0" w:type="dxa"/>
            <w:left w:w="108" w:type="dxa"/>
            <w:bottom w:w="0" w:type="dxa"/>
            <w:right w:w="108" w:type="dxa"/>
          </w:tblCellMar>
        </w:tblPrEx>
        <w:trPr>
          <w:trHeight w:val="317" w:hRule="atLeast"/>
          <w:tblHeader/>
          <w:jc w:val="center"/>
        </w:trPr>
        <w:tc>
          <w:tcPr>
            <w:tcW w:w="9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34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5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tblPrEx>
          <w:tblCellMar>
            <w:top w:w="0" w:type="dxa"/>
            <w:left w:w="108" w:type="dxa"/>
            <w:bottom w:w="0" w:type="dxa"/>
            <w:right w:w="108" w:type="dxa"/>
          </w:tblCellMar>
        </w:tblPrEx>
        <w:trPr>
          <w:trHeight w:val="317" w:hRule="atLeast"/>
          <w:tblHeader/>
          <w:jc w:val="center"/>
        </w:trPr>
        <w:tc>
          <w:tcPr>
            <w:tcW w:w="967"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Arial"/>
                <w:b/>
                <w:color w:val="000000"/>
                <w:kern w:val="0"/>
                <w:sz w:val="18"/>
                <w:szCs w:val="18"/>
              </w:rPr>
            </w:pPr>
          </w:p>
        </w:tc>
        <w:tc>
          <w:tcPr>
            <w:tcW w:w="43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Arial"/>
                <w:b/>
                <w:color w:val="000000"/>
                <w:kern w:val="0"/>
                <w:sz w:val="18"/>
                <w:szCs w:val="18"/>
              </w:rPr>
            </w:pPr>
            <w:r>
              <w:rPr>
                <w:rFonts w:ascii="宋体" w:hAnsi="宋体" w:eastAsia="宋体" w:cs="宋体"/>
                <w:b/>
                <w:bCs/>
                <w:i w:val="0"/>
                <w:iCs w:val="0"/>
                <w:color w:val="000000"/>
                <w:kern w:val="0"/>
                <w:sz w:val="18"/>
                <w:szCs w:val="18"/>
                <w:u w:val="none"/>
                <w:lang w:val="en-US" w:eastAsia="zh-CN" w:bidi="ar"/>
              </w:rPr>
              <w:t>合计</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b/>
                <w:color w:val="000000"/>
                <w:kern w:val="0"/>
                <w:sz w:val="18"/>
                <w:szCs w:val="18"/>
              </w:rPr>
            </w:pPr>
            <w:r>
              <w:rPr>
                <w:rFonts w:ascii="宋体" w:hAnsi="宋体" w:eastAsia="宋体" w:cs="宋体"/>
                <w:b/>
                <w:bCs/>
                <w:i w:val="0"/>
                <w:iCs w:val="0"/>
                <w:color w:val="000000"/>
                <w:kern w:val="0"/>
                <w:sz w:val="18"/>
                <w:szCs w:val="18"/>
                <w:u w:val="none"/>
                <w:lang w:val="en-US" w:eastAsia="zh-CN" w:bidi="ar"/>
              </w:rPr>
              <w:t>205.09</w:t>
            </w:r>
          </w:p>
        </w:tc>
        <w:tc>
          <w:tcPr>
            <w:tcW w:w="14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b/>
                <w:color w:val="000000"/>
                <w:kern w:val="0"/>
                <w:sz w:val="18"/>
                <w:szCs w:val="18"/>
              </w:rPr>
            </w:pPr>
            <w:r>
              <w:rPr>
                <w:rFonts w:ascii="宋体" w:hAnsi="宋体" w:eastAsia="宋体" w:cs="宋体"/>
                <w:b/>
                <w:bCs/>
                <w:i w:val="0"/>
                <w:iCs w:val="0"/>
                <w:color w:val="000000"/>
                <w:kern w:val="0"/>
                <w:sz w:val="18"/>
                <w:szCs w:val="18"/>
                <w:u w:val="none"/>
                <w:lang w:val="en-US" w:eastAsia="zh-CN" w:bidi="ar"/>
              </w:rPr>
              <w:t>193.59</w:t>
            </w:r>
          </w:p>
        </w:tc>
        <w:tc>
          <w:tcPr>
            <w:tcW w:w="1254"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ascii="宋体" w:hAnsi="宋体" w:cs="Arial"/>
                <w:b/>
                <w:color w:val="000000"/>
                <w:kern w:val="0"/>
                <w:sz w:val="18"/>
                <w:szCs w:val="18"/>
              </w:rPr>
            </w:pPr>
            <w:r>
              <w:rPr>
                <w:rFonts w:ascii="宋体" w:hAnsi="宋体" w:eastAsia="宋体" w:cs="宋体"/>
                <w:b/>
                <w:bCs/>
                <w:i w:val="0"/>
                <w:iCs w:val="0"/>
                <w:color w:val="000000"/>
                <w:kern w:val="0"/>
                <w:sz w:val="18"/>
                <w:szCs w:val="18"/>
                <w:u w:val="none"/>
                <w:lang w:val="en-US" w:eastAsia="zh-CN" w:bidi="ar"/>
              </w:rPr>
              <w:t>11.50</w:t>
            </w:r>
          </w:p>
        </w:tc>
      </w:tr>
      <w:tr>
        <w:tblPrEx>
          <w:tblCellMar>
            <w:top w:w="0" w:type="dxa"/>
            <w:left w:w="108" w:type="dxa"/>
            <w:bottom w:w="0" w:type="dxa"/>
            <w:right w:w="108" w:type="dxa"/>
          </w:tblCellMar>
        </w:tblPrEx>
        <w:trPr>
          <w:trHeight w:val="31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301</w:t>
            </w: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工资福利支出</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193.59</w:t>
            </w:r>
          </w:p>
        </w:tc>
        <w:tc>
          <w:tcPr>
            <w:tcW w:w="14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193.59</w:t>
            </w:r>
          </w:p>
        </w:tc>
        <w:tc>
          <w:tcPr>
            <w:tcW w:w="1254" w:type="dxa"/>
            <w:tcBorders>
              <w:top w:val="nil"/>
              <w:left w:val="nil"/>
              <w:bottom w:val="single" w:color="000000" w:sz="4" w:space="0"/>
              <w:right w:val="nil"/>
            </w:tcBorders>
            <w:shd w:val="clear" w:color="FFFFFF" w:fill="FFFFFF"/>
            <w:noWrap/>
            <w:vAlign w:val="center"/>
          </w:tcPr>
          <w:p>
            <w:pPr>
              <w:jc w:val="right"/>
              <w:rPr>
                <w:rFonts w:ascii="宋体" w:hAnsi="宋体"/>
                <w:b/>
                <w:sz w:val="18"/>
                <w:szCs w:val="18"/>
              </w:rPr>
            </w:pPr>
          </w:p>
        </w:tc>
      </w:tr>
      <w:tr>
        <w:tblPrEx>
          <w:tblCellMar>
            <w:top w:w="0" w:type="dxa"/>
            <w:left w:w="108" w:type="dxa"/>
            <w:bottom w:w="0" w:type="dxa"/>
            <w:right w:w="108" w:type="dxa"/>
          </w:tblCellMar>
        </w:tblPrEx>
        <w:trPr>
          <w:trHeight w:val="31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30102</w:t>
            </w: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津贴补贴</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65.83</w:t>
            </w:r>
          </w:p>
        </w:tc>
        <w:tc>
          <w:tcPr>
            <w:tcW w:w="14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65.83</w:t>
            </w:r>
          </w:p>
        </w:tc>
        <w:tc>
          <w:tcPr>
            <w:tcW w:w="1254" w:type="dxa"/>
            <w:tcBorders>
              <w:top w:val="nil"/>
              <w:left w:val="nil"/>
              <w:bottom w:val="single" w:color="000000" w:sz="4" w:space="0"/>
              <w:right w:val="nil"/>
            </w:tcBorders>
            <w:shd w:val="clear" w:color="FFFFFF" w:fill="FFFFFF"/>
            <w:noWrap/>
            <w:vAlign w:val="center"/>
          </w:tcPr>
          <w:p>
            <w:pPr>
              <w:jc w:val="right"/>
              <w:rPr>
                <w:rFonts w:ascii="宋体" w:hAnsi="宋体"/>
                <w:b/>
                <w:sz w:val="18"/>
                <w:szCs w:val="18"/>
              </w:rPr>
            </w:pPr>
          </w:p>
        </w:tc>
      </w:tr>
      <w:tr>
        <w:tblPrEx>
          <w:tblCellMar>
            <w:top w:w="0" w:type="dxa"/>
            <w:left w:w="108" w:type="dxa"/>
            <w:bottom w:w="0" w:type="dxa"/>
            <w:right w:w="108" w:type="dxa"/>
          </w:tblCellMar>
        </w:tblPrEx>
        <w:trPr>
          <w:trHeight w:val="31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30103</w:t>
            </w: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奖金</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29.47</w:t>
            </w:r>
          </w:p>
        </w:tc>
        <w:tc>
          <w:tcPr>
            <w:tcW w:w="14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29.47</w:t>
            </w:r>
          </w:p>
        </w:tc>
        <w:tc>
          <w:tcPr>
            <w:tcW w:w="1254" w:type="dxa"/>
            <w:tcBorders>
              <w:top w:val="nil"/>
              <w:left w:val="nil"/>
              <w:bottom w:val="single" w:color="000000" w:sz="4" w:space="0"/>
              <w:right w:val="nil"/>
            </w:tcBorders>
            <w:shd w:val="clear" w:color="FFFFFF" w:fill="FFFFFF"/>
            <w:noWrap/>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31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30101</w:t>
            </w: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基本工资</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56.66</w:t>
            </w:r>
          </w:p>
        </w:tc>
        <w:tc>
          <w:tcPr>
            <w:tcW w:w="14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56.66</w:t>
            </w:r>
          </w:p>
        </w:tc>
        <w:tc>
          <w:tcPr>
            <w:tcW w:w="1254" w:type="dxa"/>
            <w:tcBorders>
              <w:top w:val="nil"/>
              <w:left w:val="nil"/>
              <w:bottom w:val="single" w:color="000000" w:sz="4" w:space="0"/>
              <w:right w:val="nil"/>
            </w:tcBorders>
            <w:shd w:val="clear" w:color="FFFFFF" w:fill="FFFFFF"/>
            <w:noWrap/>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31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30112</w:t>
            </w: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其他社会保障缴费</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18.32</w:t>
            </w:r>
          </w:p>
        </w:tc>
        <w:tc>
          <w:tcPr>
            <w:tcW w:w="14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18.32</w:t>
            </w:r>
          </w:p>
        </w:tc>
        <w:tc>
          <w:tcPr>
            <w:tcW w:w="1254" w:type="dxa"/>
            <w:tcBorders>
              <w:top w:val="nil"/>
              <w:left w:val="nil"/>
              <w:bottom w:val="single" w:color="000000" w:sz="4" w:space="0"/>
              <w:right w:val="nil"/>
            </w:tcBorders>
            <w:shd w:val="clear" w:color="FFFFFF" w:fill="FFFFFF"/>
            <w:noWrap/>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31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30111</w:t>
            </w: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公务员医疗补助缴费</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1.70</w:t>
            </w:r>
          </w:p>
        </w:tc>
        <w:tc>
          <w:tcPr>
            <w:tcW w:w="14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1.70</w:t>
            </w:r>
          </w:p>
        </w:tc>
        <w:tc>
          <w:tcPr>
            <w:tcW w:w="1254" w:type="dxa"/>
            <w:tcBorders>
              <w:top w:val="nil"/>
              <w:left w:val="nil"/>
              <w:bottom w:val="single" w:color="000000" w:sz="4" w:space="0"/>
              <w:right w:val="nil"/>
            </w:tcBorders>
            <w:shd w:val="clear" w:color="FFFFFF" w:fill="FFFFFF"/>
            <w:noWrap/>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31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30110</w:t>
            </w: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职工基本医疗保险缴费</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8.04</w:t>
            </w:r>
          </w:p>
        </w:tc>
        <w:tc>
          <w:tcPr>
            <w:tcW w:w="14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8.04</w:t>
            </w:r>
          </w:p>
        </w:tc>
        <w:tc>
          <w:tcPr>
            <w:tcW w:w="1254" w:type="dxa"/>
            <w:tcBorders>
              <w:top w:val="nil"/>
              <w:left w:val="nil"/>
              <w:bottom w:val="single" w:color="000000" w:sz="4" w:space="0"/>
              <w:right w:val="nil"/>
            </w:tcBorders>
            <w:shd w:val="clear" w:color="FFFFFF" w:fill="FFFFFF"/>
            <w:noWrap/>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31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30113</w:t>
            </w: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住房公积金</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13.57</w:t>
            </w:r>
          </w:p>
        </w:tc>
        <w:tc>
          <w:tcPr>
            <w:tcW w:w="14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13.57</w:t>
            </w:r>
          </w:p>
        </w:tc>
        <w:tc>
          <w:tcPr>
            <w:tcW w:w="1254" w:type="dxa"/>
            <w:tcBorders>
              <w:top w:val="nil"/>
              <w:left w:val="nil"/>
              <w:bottom w:val="single" w:color="000000" w:sz="4" w:space="0"/>
              <w:right w:val="nil"/>
            </w:tcBorders>
            <w:shd w:val="clear" w:color="FFFFFF" w:fill="FFFFFF"/>
            <w:noWrap/>
            <w:vAlign w:val="center"/>
          </w:tcPr>
          <w:p>
            <w:pPr>
              <w:jc w:val="right"/>
              <w:rPr>
                <w:rFonts w:ascii="宋体" w:hAnsi="宋体"/>
                <w:sz w:val="18"/>
                <w:szCs w:val="18"/>
              </w:rPr>
            </w:pPr>
          </w:p>
        </w:tc>
      </w:tr>
      <w:tr>
        <w:tblPrEx>
          <w:tblCellMar>
            <w:top w:w="0" w:type="dxa"/>
            <w:left w:w="108" w:type="dxa"/>
            <w:bottom w:w="0" w:type="dxa"/>
            <w:right w:w="108" w:type="dxa"/>
          </w:tblCellMar>
        </w:tblPrEx>
        <w:trPr>
          <w:trHeight w:val="31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302</w:t>
            </w: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商品和服务支出</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11.50</w:t>
            </w:r>
          </w:p>
        </w:tc>
        <w:tc>
          <w:tcPr>
            <w:tcW w:w="1447" w:type="dxa"/>
            <w:tcBorders>
              <w:top w:val="nil"/>
              <w:left w:val="nil"/>
              <w:bottom w:val="single" w:color="000000" w:sz="4" w:space="0"/>
              <w:right w:val="single" w:color="000000" w:sz="4" w:space="0"/>
            </w:tcBorders>
            <w:shd w:val="clear" w:color="FFFFFF" w:fill="FFFFFF"/>
            <w:noWrap/>
            <w:vAlign w:val="center"/>
          </w:tcPr>
          <w:p>
            <w:pPr>
              <w:jc w:val="right"/>
              <w:rPr>
                <w:rFonts w:ascii="宋体" w:hAnsi="宋体"/>
                <w:sz w:val="18"/>
                <w:szCs w:val="18"/>
              </w:rPr>
            </w:pPr>
          </w:p>
        </w:tc>
        <w:tc>
          <w:tcPr>
            <w:tcW w:w="1254"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11.50</w:t>
            </w:r>
          </w:p>
        </w:tc>
      </w:tr>
      <w:tr>
        <w:tblPrEx>
          <w:tblCellMar>
            <w:top w:w="0" w:type="dxa"/>
            <w:left w:w="108" w:type="dxa"/>
            <w:bottom w:w="0" w:type="dxa"/>
            <w:right w:w="108" w:type="dxa"/>
          </w:tblCellMar>
        </w:tblPrEx>
        <w:trPr>
          <w:trHeight w:val="327"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30227</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委托业务费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0.35</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b/>
                <w:sz w:val="18"/>
                <w:szCs w:val="18"/>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0.35</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30201</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4.91</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b/>
                <w:sz w:val="18"/>
                <w:szCs w:val="18"/>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4.91</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30205</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水费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0.08</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b/>
                <w:sz w:val="18"/>
                <w:szCs w:val="18"/>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0.08</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30206</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电费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0.18</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b/>
                <w:sz w:val="18"/>
                <w:szCs w:val="18"/>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0.18</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30209</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物业管理费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0.12</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b/>
                <w:sz w:val="18"/>
                <w:szCs w:val="18"/>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0.12</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30214</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租赁费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0.60</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b/>
                <w:sz w:val="18"/>
                <w:szCs w:val="18"/>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0.60</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30211</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差旅费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b/>
                <w:sz w:val="18"/>
                <w:szCs w:val="18"/>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30228</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工会经费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2.26</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b/>
                <w:sz w:val="18"/>
                <w:szCs w:val="18"/>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2.26</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jc w:val="center"/>
              <w:rPr>
                <w:rFonts w:ascii="宋体" w:hAnsi="宋体" w:eastAsia="宋体" w:cs="宋体"/>
                <w:b/>
                <w:bCs/>
                <w:i w:val="0"/>
                <w:iCs w:val="0"/>
                <w:color w:val="000000"/>
                <w:kern w:val="0"/>
                <w:sz w:val="18"/>
                <w:szCs w:val="18"/>
                <w:u w:val="none"/>
                <w:lang w:val="en-US" w:eastAsia="zh-CN" w:bidi="ar"/>
              </w:rPr>
            </w:pP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合计</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205.09</w:t>
            </w:r>
          </w:p>
        </w:tc>
        <w:tc>
          <w:tcPr>
            <w:tcW w:w="144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193.59</w:t>
            </w: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11.50</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301</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工资福利支出</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193.59</w:t>
            </w:r>
          </w:p>
        </w:tc>
        <w:tc>
          <w:tcPr>
            <w:tcW w:w="144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193.59</w:t>
            </w:r>
          </w:p>
        </w:tc>
        <w:tc>
          <w:tcPr>
            <w:tcW w:w="1254" w:type="dxa"/>
            <w:tcBorders>
              <w:top w:val="nil"/>
              <w:left w:val="nil"/>
              <w:bottom w:val="nil"/>
              <w:right w:val="nil"/>
            </w:tcBorders>
            <w:shd w:val="clear" w:color="FFFFFF" w:fill="FFFFFF"/>
            <w:noWrap/>
            <w:vAlign w:val="center"/>
          </w:tcPr>
          <w:p>
            <w:pPr>
              <w:jc w:val="right"/>
              <w:rPr>
                <w:rFonts w:ascii="宋体" w:hAnsi="宋体" w:eastAsia="宋体" w:cs="宋体"/>
                <w:b/>
                <w:bCs/>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30102</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津贴补贴</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65.83</w:t>
            </w:r>
          </w:p>
        </w:tc>
        <w:tc>
          <w:tcPr>
            <w:tcW w:w="144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65.83</w:t>
            </w:r>
          </w:p>
        </w:tc>
        <w:tc>
          <w:tcPr>
            <w:tcW w:w="1254" w:type="dxa"/>
            <w:tcBorders>
              <w:top w:val="nil"/>
              <w:left w:val="nil"/>
              <w:bottom w:val="nil"/>
              <w:right w:val="nil"/>
            </w:tcBorders>
            <w:shd w:val="clear" w:color="FFFFFF" w:fill="FFFFFF"/>
            <w:noWrap/>
            <w:vAlign w:val="center"/>
          </w:tcPr>
          <w:p>
            <w:pPr>
              <w:jc w:val="right"/>
              <w:rPr>
                <w:rFonts w:ascii="宋体" w:hAnsi="宋体" w:eastAsia="宋体" w:cs="宋体"/>
                <w:b/>
                <w:bCs/>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30103</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奖金</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29.47</w:t>
            </w:r>
          </w:p>
        </w:tc>
        <w:tc>
          <w:tcPr>
            <w:tcW w:w="144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29.47</w:t>
            </w:r>
          </w:p>
        </w:tc>
        <w:tc>
          <w:tcPr>
            <w:tcW w:w="1254" w:type="dxa"/>
            <w:tcBorders>
              <w:top w:val="nil"/>
              <w:left w:val="nil"/>
              <w:bottom w:val="nil"/>
              <w:right w:val="nil"/>
            </w:tcBorders>
            <w:shd w:val="clear" w:color="FFFFFF" w:fill="FFFFFF"/>
            <w:noWrap/>
            <w:vAlign w:val="center"/>
          </w:tcPr>
          <w:p>
            <w:pPr>
              <w:jc w:val="right"/>
              <w:rPr>
                <w:rFonts w:ascii="宋体" w:hAnsi="宋体" w:eastAsia="宋体" w:cs="宋体"/>
                <w:b/>
                <w:bCs/>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30101</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基本工资</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56.66</w:t>
            </w:r>
          </w:p>
        </w:tc>
        <w:tc>
          <w:tcPr>
            <w:tcW w:w="144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56.66</w:t>
            </w:r>
          </w:p>
        </w:tc>
        <w:tc>
          <w:tcPr>
            <w:tcW w:w="1254" w:type="dxa"/>
            <w:tcBorders>
              <w:top w:val="nil"/>
              <w:left w:val="nil"/>
              <w:bottom w:val="nil"/>
              <w:right w:val="nil"/>
            </w:tcBorders>
            <w:shd w:val="clear" w:color="FFFFFF" w:fill="FFFFFF"/>
            <w:noWrap/>
            <w:vAlign w:val="center"/>
          </w:tcPr>
          <w:p>
            <w:pPr>
              <w:jc w:val="right"/>
              <w:rPr>
                <w:rFonts w:ascii="宋体" w:hAnsi="宋体" w:eastAsia="宋体" w:cs="宋体"/>
                <w:b/>
                <w:bCs/>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30112</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其他社会保障缴费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18.32</w:t>
            </w:r>
          </w:p>
        </w:tc>
        <w:tc>
          <w:tcPr>
            <w:tcW w:w="144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18.32</w:t>
            </w:r>
          </w:p>
        </w:tc>
        <w:tc>
          <w:tcPr>
            <w:tcW w:w="1254" w:type="dxa"/>
            <w:tcBorders>
              <w:top w:val="nil"/>
              <w:left w:val="nil"/>
              <w:bottom w:val="nil"/>
              <w:right w:val="nil"/>
            </w:tcBorders>
            <w:shd w:val="clear" w:color="FFFFFF" w:fill="FFFFFF"/>
            <w:noWrap/>
            <w:vAlign w:val="center"/>
          </w:tcPr>
          <w:p>
            <w:pPr>
              <w:jc w:val="right"/>
              <w:rPr>
                <w:rFonts w:ascii="宋体" w:hAnsi="宋体" w:eastAsia="宋体" w:cs="宋体"/>
                <w:b/>
                <w:bCs/>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30111</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公务员医疗补助缴费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1.70</w:t>
            </w:r>
          </w:p>
        </w:tc>
        <w:tc>
          <w:tcPr>
            <w:tcW w:w="144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1.70</w:t>
            </w:r>
          </w:p>
        </w:tc>
        <w:tc>
          <w:tcPr>
            <w:tcW w:w="1254" w:type="dxa"/>
            <w:tcBorders>
              <w:top w:val="nil"/>
              <w:left w:val="nil"/>
              <w:bottom w:val="nil"/>
              <w:right w:val="nil"/>
            </w:tcBorders>
            <w:shd w:val="clear" w:color="FFFFFF" w:fill="FFFFFF"/>
            <w:noWrap/>
            <w:vAlign w:val="center"/>
          </w:tcPr>
          <w:p>
            <w:pPr>
              <w:jc w:val="right"/>
              <w:rPr>
                <w:rFonts w:ascii="宋体" w:hAnsi="宋体" w:eastAsia="宋体" w:cs="宋体"/>
                <w:b/>
                <w:bCs/>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30110</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职工基本医疗保险缴费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8.04</w:t>
            </w:r>
          </w:p>
        </w:tc>
        <w:tc>
          <w:tcPr>
            <w:tcW w:w="144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8.04</w:t>
            </w:r>
          </w:p>
        </w:tc>
        <w:tc>
          <w:tcPr>
            <w:tcW w:w="1254" w:type="dxa"/>
            <w:tcBorders>
              <w:top w:val="nil"/>
              <w:left w:val="nil"/>
              <w:bottom w:val="nil"/>
              <w:right w:val="nil"/>
            </w:tcBorders>
            <w:shd w:val="clear" w:color="FFFFFF" w:fill="FFFFFF"/>
            <w:noWrap/>
            <w:vAlign w:val="center"/>
          </w:tcPr>
          <w:p>
            <w:pPr>
              <w:jc w:val="right"/>
              <w:rPr>
                <w:rFonts w:ascii="宋体" w:hAnsi="宋体" w:eastAsia="宋体" w:cs="宋体"/>
                <w:b/>
                <w:bCs/>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30113</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住房公积金</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13.57</w:t>
            </w:r>
          </w:p>
        </w:tc>
        <w:tc>
          <w:tcPr>
            <w:tcW w:w="144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13.57</w:t>
            </w:r>
          </w:p>
        </w:tc>
        <w:tc>
          <w:tcPr>
            <w:tcW w:w="1254" w:type="dxa"/>
            <w:tcBorders>
              <w:top w:val="nil"/>
              <w:left w:val="nil"/>
              <w:bottom w:val="nil"/>
              <w:right w:val="nil"/>
            </w:tcBorders>
            <w:shd w:val="clear" w:color="FFFFFF" w:fill="FFFFFF"/>
            <w:noWrap/>
            <w:vAlign w:val="center"/>
          </w:tcPr>
          <w:p>
            <w:pPr>
              <w:jc w:val="right"/>
              <w:rPr>
                <w:rFonts w:ascii="宋体" w:hAnsi="宋体" w:eastAsia="宋体" w:cs="宋体"/>
                <w:b/>
                <w:bCs/>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302</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商品和服务支出</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11.50</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eastAsia="宋体" w:cs="宋体"/>
                <w:i w:val="0"/>
                <w:iCs w:val="0"/>
                <w:color w:val="000000"/>
                <w:kern w:val="0"/>
                <w:sz w:val="18"/>
                <w:szCs w:val="18"/>
                <w:u w:val="none"/>
                <w:lang w:val="en-US" w:eastAsia="zh-CN" w:bidi="ar"/>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11.50</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30227</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委托业务费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0.35</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eastAsia="宋体" w:cs="宋体"/>
                <w:i w:val="0"/>
                <w:iCs w:val="0"/>
                <w:color w:val="000000"/>
                <w:kern w:val="0"/>
                <w:sz w:val="18"/>
                <w:szCs w:val="18"/>
                <w:u w:val="none"/>
                <w:lang w:val="en-US" w:eastAsia="zh-CN" w:bidi="ar"/>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0.35</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30201</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办公费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4.91</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eastAsia="宋体" w:cs="宋体"/>
                <w:i w:val="0"/>
                <w:iCs w:val="0"/>
                <w:color w:val="000000"/>
                <w:kern w:val="0"/>
                <w:sz w:val="18"/>
                <w:szCs w:val="18"/>
                <w:u w:val="none"/>
                <w:lang w:val="en-US" w:eastAsia="zh-CN" w:bidi="ar"/>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4.91</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30205</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水费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0.08</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eastAsia="宋体" w:cs="宋体"/>
                <w:i w:val="0"/>
                <w:iCs w:val="0"/>
                <w:color w:val="000000"/>
                <w:kern w:val="0"/>
                <w:sz w:val="18"/>
                <w:szCs w:val="18"/>
                <w:u w:val="none"/>
                <w:lang w:val="en-US" w:eastAsia="zh-CN" w:bidi="ar"/>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0.08</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30206</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电费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0.18</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eastAsia="宋体" w:cs="宋体"/>
                <w:i w:val="0"/>
                <w:iCs w:val="0"/>
                <w:color w:val="000000"/>
                <w:kern w:val="0"/>
                <w:sz w:val="18"/>
                <w:szCs w:val="18"/>
                <w:u w:val="none"/>
                <w:lang w:val="en-US" w:eastAsia="zh-CN" w:bidi="ar"/>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0.18</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30209</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物业管理费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0.12</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eastAsia="宋体" w:cs="宋体"/>
                <w:i w:val="0"/>
                <w:iCs w:val="0"/>
                <w:color w:val="000000"/>
                <w:kern w:val="0"/>
                <w:sz w:val="18"/>
                <w:szCs w:val="18"/>
                <w:u w:val="none"/>
                <w:lang w:val="en-US" w:eastAsia="zh-CN" w:bidi="ar"/>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0.12</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30214</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租赁费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0.60</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eastAsia="宋体" w:cs="宋体"/>
                <w:i w:val="0"/>
                <w:iCs w:val="0"/>
                <w:color w:val="000000"/>
                <w:kern w:val="0"/>
                <w:sz w:val="18"/>
                <w:szCs w:val="18"/>
                <w:u w:val="none"/>
                <w:lang w:val="en-US" w:eastAsia="zh-CN" w:bidi="ar"/>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0.60</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30211</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差旅费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eastAsia="宋体" w:cs="宋体"/>
                <w:i w:val="0"/>
                <w:iCs w:val="0"/>
                <w:color w:val="000000"/>
                <w:kern w:val="0"/>
                <w:sz w:val="18"/>
                <w:szCs w:val="18"/>
                <w:u w:val="none"/>
                <w:lang w:val="en-US" w:eastAsia="zh-CN" w:bidi="ar"/>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3.00</w:t>
            </w:r>
          </w:p>
        </w:tc>
      </w:tr>
      <w:tr>
        <w:tblPrEx>
          <w:tblCellMar>
            <w:top w:w="0" w:type="dxa"/>
            <w:left w:w="108" w:type="dxa"/>
            <w:bottom w:w="0" w:type="dxa"/>
            <w:right w:w="108" w:type="dxa"/>
          </w:tblCellMar>
        </w:tblPrEx>
        <w:trPr>
          <w:trHeight w:val="318" w:hRule="atLeast"/>
          <w:jc w:val="center"/>
        </w:trPr>
        <w:tc>
          <w:tcPr>
            <w:tcW w:w="967"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30228</w:t>
            </w:r>
          </w:p>
        </w:tc>
        <w:tc>
          <w:tcPr>
            <w:tcW w:w="4341"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工会经费</w:t>
            </w:r>
          </w:p>
        </w:tc>
        <w:tc>
          <w:tcPr>
            <w:tcW w:w="1590" w:type="dxa"/>
            <w:tcBorders>
              <w:top w:val="nil"/>
              <w:left w:val="nil"/>
              <w:bottom w:val="nil"/>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2.26</w:t>
            </w:r>
          </w:p>
        </w:tc>
        <w:tc>
          <w:tcPr>
            <w:tcW w:w="1447" w:type="dxa"/>
            <w:tcBorders>
              <w:top w:val="nil"/>
              <w:left w:val="nil"/>
              <w:bottom w:val="nil"/>
              <w:right w:val="single" w:color="000000" w:sz="4" w:space="0"/>
            </w:tcBorders>
            <w:shd w:val="clear" w:color="FFFFFF" w:fill="FFFFFF"/>
            <w:noWrap/>
            <w:vAlign w:val="center"/>
          </w:tcPr>
          <w:p>
            <w:pPr>
              <w:jc w:val="right"/>
              <w:rPr>
                <w:rFonts w:ascii="宋体" w:hAnsi="宋体" w:eastAsia="宋体" w:cs="宋体"/>
                <w:i w:val="0"/>
                <w:iCs w:val="0"/>
                <w:color w:val="000000"/>
                <w:kern w:val="0"/>
                <w:sz w:val="18"/>
                <w:szCs w:val="18"/>
                <w:u w:val="none"/>
                <w:lang w:val="en-US" w:eastAsia="zh-CN" w:bidi="ar"/>
              </w:rPr>
            </w:pPr>
          </w:p>
        </w:tc>
        <w:tc>
          <w:tcPr>
            <w:tcW w:w="1254" w:type="dxa"/>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2.26</w:t>
            </w:r>
          </w:p>
        </w:tc>
      </w:tr>
      <w:tr>
        <w:tblPrEx>
          <w:tblCellMar>
            <w:top w:w="0" w:type="dxa"/>
            <w:left w:w="108" w:type="dxa"/>
            <w:bottom w:w="0" w:type="dxa"/>
            <w:right w:w="108" w:type="dxa"/>
          </w:tblCellMar>
        </w:tblPrEx>
        <w:trPr>
          <w:trHeight w:val="327" w:hRule="atLeast"/>
          <w:jc w:val="center"/>
        </w:trPr>
        <w:tc>
          <w:tcPr>
            <w:tcW w:w="967" w:type="dxa"/>
            <w:tcBorders>
              <w:top w:val="nil"/>
              <w:left w:val="nil"/>
              <w:bottom w:val="single" w:color="000000" w:sz="4" w:space="0"/>
              <w:right w:val="single" w:color="000000" w:sz="4" w:space="0"/>
            </w:tcBorders>
            <w:shd w:val="clear" w:color="FFFFFF" w:fill="FFFFFF"/>
            <w:noWrap/>
            <w:vAlign w:val="center"/>
          </w:tcPr>
          <w:p>
            <w:pPr>
              <w:jc w:val="center"/>
              <w:rPr>
                <w:rFonts w:ascii="宋体" w:hAnsi="宋体" w:eastAsia="宋体" w:cs="宋体"/>
                <w:i w:val="0"/>
                <w:iCs w:val="0"/>
                <w:color w:val="000000"/>
                <w:kern w:val="0"/>
                <w:sz w:val="18"/>
                <w:szCs w:val="18"/>
                <w:u w:val="none"/>
                <w:lang w:val="en-US" w:eastAsia="zh-CN" w:bidi="ar"/>
              </w:rPr>
            </w:pPr>
          </w:p>
        </w:tc>
        <w:tc>
          <w:tcPr>
            <w:tcW w:w="4341"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合计</w:t>
            </w:r>
          </w:p>
        </w:tc>
        <w:tc>
          <w:tcPr>
            <w:tcW w:w="159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205.09</w:t>
            </w:r>
          </w:p>
        </w:tc>
        <w:tc>
          <w:tcPr>
            <w:tcW w:w="144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193.59</w:t>
            </w:r>
          </w:p>
        </w:tc>
        <w:tc>
          <w:tcPr>
            <w:tcW w:w="1254" w:type="dxa"/>
            <w:tcBorders>
              <w:top w:val="nil"/>
              <w:left w:val="nil"/>
              <w:bottom w:val="single" w:color="000000" w:sz="4" w:space="0"/>
              <w:right w:val="nil"/>
            </w:tcBorders>
            <w:shd w:val="clear" w:color="FFFFFF" w:fill="FFFFFF"/>
            <w:noWrap/>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11.50</w:t>
            </w:r>
          </w:p>
        </w:tc>
      </w:tr>
    </w:tbl>
    <w:p>
      <w:pPr>
        <w:widowControl/>
        <w:spacing w:line="560" w:lineRule="exact"/>
        <w:ind w:firstLine="360" w:firstLineChars="200"/>
        <w:jc w:val="left"/>
        <w:rPr>
          <w:rFonts w:ascii="仿宋_GB2312" w:hAnsi="微软雅黑" w:eastAsia="仿宋_GB2312"/>
          <w:sz w:val="18"/>
          <w:szCs w:val="18"/>
        </w:rPr>
      </w:pPr>
      <w:r>
        <w:rPr>
          <w:rFonts w:hint="eastAsia" w:ascii="宋体" w:hAnsi="宋体"/>
          <w:sz w:val="18"/>
          <w:szCs w:val="18"/>
        </w:rPr>
        <w:t>备注：无内容应公开空表并说明情况。</w:t>
      </w:r>
    </w:p>
    <w:p>
      <w:pPr>
        <w:tabs>
          <w:tab w:val="left" w:pos="151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bookmarkStart w:id="0" w:name="_GoBack"/>
      <w:bookmarkEnd w:id="0"/>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w:t>
      </w:r>
      <w:r>
        <w:rPr>
          <w:rFonts w:hint="eastAsia" w:ascii="仿宋_GB2312" w:hAnsi="宋体" w:eastAsia="仿宋_GB2312" w:cs="宋体"/>
          <w:bCs/>
          <w:kern w:val="0"/>
          <w:sz w:val="32"/>
          <w:szCs w:val="32"/>
        </w:rPr>
        <w:t>财政拨款</w:t>
      </w:r>
      <w:r>
        <w:rPr>
          <w:rFonts w:hint="eastAsia" w:ascii="仿宋_GB2312" w:hAnsi="宋体" w:eastAsia="仿宋_GB2312" w:cs="宋体"/>
          <w:kern w:val="0"/>
          <w:sz w:val="32"/>
          <w:szCs w:val="32"/>
        </w:rPr>
        <w:t>“三公”经费、会议费、培训费支出情况表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tblPrEx>
          <w:tblCellMar>
            <w:top w:w="0" w:type="dxa"/>
            <w:left w:w="108" w:type="dxa"/>
            <w:bottom w:w="0" w:type="dxa"/>
            <w:right w:w="108" w:type="dxa"/>
          </w:tblCellMar>
        </w:tblPrEx>
        <w:trPr>
          <w:trHeight w:val="20" w:hRule="atLeast"/>
          <w:jc w:val="center"/>
        </w:trPr>
        <w:tc>
          <w:tcPr>
            <w:tcW w:w="5125" w:type="dxa"/>
            <w:tcBorders>
              <w:top w:val="single" w:color="000000" w:sz="4" w:space="0"/>
              <w:left w:val="nil"/>
              <w:bottom w:val="single" w:color="auto" w:sz="4" w:space="0"/>
              <w:right w:val="single" w:color="auto" w:sz="4" w:space="0"/>
            </w:tcBorders>
            <w:shd w:val="clear" w:color="CCCCFF" w:fill="FFFFFF"/>
            <w:noWrap/>
          </w:tcPr>
          <w:p>
            <w:pPr>
              <w:rPr>
                <w:rFonts w:ascii="宋体" w:hAnsi="宋体"/>
                <w:sz w:val="18"/>
                <w:szCs w:val="18"/>
              </w:rPr>
            </w:pPr>
            <w:r>
              <w:rPr>
                <w:rFonts w:ascii="宋体" w:hAnsi="宋体"/>
                <w:b/>
                <w:sz w:val="18"/>
                <w:szCs w:val="18"/>
              </w:rPr>
              <w:t>总计</w:t>
            </w:r>
          </w:p>
        </w:tc>
        <w:tc>
          <w:tcPr>
            <w:tcW w:w="1358"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r>
              <w:rPr>
                <w:rFonts w:hint="eastAsia" w:ascii="宋体" w:hAnsi="宋体"/>
                <w:sz w:val="18"/>
                <w:szCs w:val="18"/>
              </w:rPr>
              <w:t>……</w:t>
            </w: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000000"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nil"/>
            </w:tcBorders>
            <w:shd w:val="clear" w:color="CCCCFF" w:fill="FFFFFF"/>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812"/>
        </w:tabs>
        <w:rPr>
          <w:rFonts w:ascii="仿宋_GB2312" w:hAnsi="微软雅黑" w:eastAsia="仿宋_GB2312"/>
          <w:sz w:val="18"/>
          <w:szCs w:val="18"/>
        </w:rPr>
      </w:pPr>
      <w:r>
        <w:rPr>
          <w:rFonts w:ascii="仿宋_GB2312" w:hAnsi="微软雅黑" w:eastAsia="仿宋_GB2312"/>
          <w:sz w:val="18"/>
          <w:szCs w:val="18"/>
        </w:rPr>
        <w:tab/>
      </w:r>
    </w:p>
    <w:p>
      <w:pPr>
        <w:tabs>
          <w:tab w:val="left" w:pos="1812"/>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表九、一般公共预算财政拨款机关运行经费表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、国有资本经营预算支出情况表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部门/单位整体支出绩效目标表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8740" w:type="dxa"/>
        <w:jc w:val="center"/>
        <w:tblLayout w:type="fixed"/>
        <w:tblCellMar>
          <w:top w:w="0" w:type="dxa"/>
          <w:left w:w="108" w:type="dxa"/>
          <w:bottom w:w="0" w:type="dxa"/>
          <w:right w:w="108" w:type="dxa"/>
        </w:tblCellMar>
      </w:tblPr>
      <w:tblGrid>
        <w:gridCol w:w="639"/>
        <w:gridCol w:w="1625"/>
        <w:gridCol w:w="846"/>
        <w:gridCol w:w="817"/>
        <w:gridCol w:w="1537"/>
        <w:gridCol w:w="1738"/>
        <w:gridCol w:w="1538"/>
      </w:tblGrid>
      <w:tr>
        <w:tblPrEx>
          <w:tblCellMar>
            <w:top w:w="0" w:type="dxa"/>
            <w:left w:w="108" w:type="dxa"/>
            <w:bottom w:w="0" w:type="dxa"/>
            <w:right w:w="108" w:type="dxa"/>
          </w:tblCellMar>
        </w:tblPrEx>
        <w:trPr>
          <w:cantSplit/>
          <w:trHeight w:val="20" w:hRule="atLeast"/>
          <w:jc w:val="center"/>
        </w:trPr>
        <w:tc>
          <w:tcPr>
            <w:tcW w:w="3110" w:type="dxa"/>
            <w:gridSpan w:val="3"/>
            <w:tcBorders>
              <w:top w:val="single" w:color="000000" w:sz="6" w:space="0"/>
              <w:left w:val="nil"/>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pPr>
              <w:widowControl/>
              <w:spacing w:line="360" w:lineRule="exact"/>
              <w:jc w:val="left"/>
              <w:rPr>
                <w:rFonts w:asciiTheme="minorEastAsia" w:hAnsiTheme="minorEastAsia" w:eastAsiaTheme="minorEastAsia"/>
                <w:color w:val="000000"/>
                <w:sz w:val="18"/>
                <w:szCs w:val="18"/>
              </w:rPr>
            </w:pPr>
            <w:r>
              <w:rPr>
                <w:rFonts w:hint="eastAsia" w:cs="宋体" w:asciiTheme="minorEastAsia" w:hAnsiTheme="minorEastAsia" w:eastAsiaTheme="minorEastAsia"/>
                <w:kern w:val="0"/>
                <w:sz w:val="18"/>
                <w:szCs w:val="18"/>
              </w:rPr>
              <w:t>目标3：</w:t>
            </w: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1537"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537"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cBorders>
            <w:textDirection w:val="tbLrV"/>
            <w:vAlign w:val="center"/>
          </w:tcPr>
          <w:p>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rPr>
          <w:cantSplit/>
          <w:trHeight w:val="20" w:hRule="atLeast"/>
          <w:jc w:val="center"/>
        </w:trPr>
        <w:tc>
          <w:tcPr>
            <w:tcW w:w="639" w:type="dxa"/>
            <w:vMerge w:val="continue"/>
            <w:tcBorders>
              <w:left w:val="nil"/>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bCs/>
                <w:color w:val="000000"/>
                <w:sz w:val="18"/>
                <w:szCs w:val="18"/>
              </w:rPr>
            </w:pPr>
          </w:p>
        </w:tc>
      </w:tr>
    </w:tbl>
    <w:p/>
    <w:p>
      <w:pPr>
        <w:spacing w:line="56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3" w:type="pct"/>
            <w:gridSpan w:val="6"/>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7" w:type="pct"/>
            <w:gridSpan w:val="3"/>
            <w:vAlign w:val="center"/>
          </w:tcPr>
          <w:p>
            <w:pPr>
              <w:widowControl/>
              <w:spacing w:line="360" w:lineRule="exact"/>
              <w:jc w:val="center"/>
              <w:rPr>
                <w:rFonts w:cs="宋体" w:asciiTheme="minorEastAsia" w:hAnsiTheme="minorEastAsia" w:eastAsiaTheme="minorEastAsia"/>
                <w:kern w:val="0"/>
                <w:sz w:val="18"/>
                <w:szCs w:val="18"/>
              </w:rPr>
            </w:pPr>
          </w:p>
        </w:tc>
        <w:tc>
          <w:tcPr>
            <w:tcW w:w="1089"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7" w:type="pct"/>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7" w:type="pct"/>
            <w:gridSpan w:val="3"/>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5" w:type="pct"/>
            <w:gridSpan w:val="7"/>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9"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8"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b/>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bl>
    <w:p>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BoldMT">
    <w:altName w:val="Times New Roman"/>
    <w:panose1 w:val="00000000000000000000"/>
    <w:charset w:val="00"/>
    <w:family w:val="roman"/>
    <w:pitch w:val="default"/>
    <w:sig w:usb0="00000000" w:usb1="00000000" w:usb2="00000000" w:usb3="00000000" w:csb0="00000000"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GZkZWQ1YmYyNWVkZjg4MmNiNDIwMDFlZDVjNmQ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826A17"/>
    <w:rsid w:val="045E5A95"/>
    <w:rsid w:val="06155CFB"/>
    <w:rsid w:val="09616F12"/>
    <w:rsid w:val="0A56459C"/>
    <w:rsid w:val="0EE83C31"/>
    <w:rsid w:val="10F863AD"/>
    <w:rsid w:val="113741D2"/>
    <w:rsid w:val="13070B2A"/>
    <w:rsid w:val="1D34261E"/>
    <w:rsid w:val="1F4629DA"/>
    <w:rsid w:val="257A518B"/>
    <w:rsid w:val="25D53E1D"/>
    <w:rsid w:val="27CE17BE"/>
    <w:rsid w:val="29E928DF"/>
    <w:rsid w:val="2EEE2746"/>
    <w:rsid w:val="31077AEF"/>
    <w:rsid w:val="31CF549D"/>
    <w:rsid w:val="382B0567"/>
    <w:rsid w:val="38DB3D3B"/>
    <w:rsid w:val="3C7F70D3"/>
    <w:rsid w:val="4DB82445"/>
    <w:rsid w:val="4F31425D"/>
    <w:rsid w:val="527E074E"/>
    <w:rsid w:val="579503FF"/>
    <w:rsid w:val="5ECC5D50"/>
    <w:rsid w:val="60535296"/>
    <w:rsid w:val="607F732C"/>
    <w:rsid w:val="619D5C93"/>
    <w:rsid w:val="636522D0"/>
    <w:rsid w:val="666B5E4F"/>
    <w:rsid w:val="6B61475F"/>
    <w:rsid w:val="6B657311"/>
    <w:rsid w:val="72FD2525"/>
    <w:rsid w:val="7394437D"/>
    <w:rsid w:val="75575F1C"/>
    <w:rsid w:val="776347E4"/>
    <w:rsid w:val="7A8F7F06"/>
    <w:rsid w:val="7B4D1F00"/>
    <w:rsid w:val="7C18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uiPriority w:val="0"/>
    <w:pPr>
      <w:jc w:val="left"/>
    </w:pPr>
  </w:style>
  <w:style w:type="paragraph" w:styleId="4">
    <w:name w:val="Balloon Text"/>
    <w:basedOn w:val="1"/>
    <w:link w:val="15"/>
    <w:qFormat/>
    <w:uiPriority w:val="0"/>
    <w:rPr>
      <w:sz w:val="18"/>
      <w:szCs w:val="18"/>
    </w:rPr>
  </w:style>
  <w:style w:type="paragraph" w:styleId="5">
    <w:name w:val="footer"/>
    <w:basedOn w:val="1"/>
    <w:link w:val="12"/>
    <w:autoRedefine/>
    <w:uiPriority w:val="0"/>
    <w:pPr>
      <w:tabs>
        <w:tab w:val="center" w:pos="4153"/>
        <w:tab w:val="right" w:pos="8306"/>
      </w:tabs>
      <w:snapToGrid w:val="0"/>
      <w:jc w:val="left"/>
    </w:pPr>
    <w:rPr>
      <w:sz w:val="18"/>
      <w:szCs w:val="18"/>
    </w:rPr>
  </w:style>
  <w:style w:type="paragraph" w:styleId="6">
    <w:name w:val="header"/>
    <w:basedOn w:val="1"/>
    <w:link w:val="13"/>
    <w:autoRedefine/>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uiPriority w:val="0"/>
  </w:style>
  <w:style w:type="character" w:styleId="11">
    <w:name w:val="annotation reference"/>
    <w:qFormat/>
    <w:uiPriority w:val="0"/>
    <w:rPr>
      <w:sz w:val="21"/>
      <w:szCs w:val="21"/>
    </w:rPr>
  </w:style>
  <w:style w:type="character" w:customStyle="1" w:styleId="12">
    <w:name w:val="页脚 Char"/>
    <w:link w:val="5"/>
    <w:autoRedefine/>
    <w:uiPriority w:val="0"/>
    <w:rPr>
      <w:sz w:val="18"/>
      <w:szCs w:val="18"/>
    </w:rPr>
  </w:style>
  <w:style w:type="character" w:customStyle="1" w:styleId="13">
    <w:name w:val="页眉 Char"/>
    <w:link w:val="6"/>
    <w:autoRedefine/>
    <w:uiPriority w:val="0"/>
    <w:rPr>
      <w:sz w:val="18"/>
      <w:szCs w:val="18"/>
    </w:rPr>
  </w:style>
  <w:style w:type="paragraph" w:styleId="14">
    <w:name w:val="List Paragraph"/>
    <w:basedOn w:val="1"/>
    <w:qFormat/>
    <w:uiPriority w:val="0"/>
    <w:pPr>
      <w:ind w:firstLine="420" w:firstLineChars="200"/>
    </w:pPr>
  </w:style>
  <w:style w:type="character" w:customStyle="1" w:styleId="15">
    <w:name w:val="批注框文本 Char"/>
    <w:link w:val="4"/>
    <w:autoRedefine/>
    <w:qFormat/>
    <w:uiPriority w:val="0"/>
    <w:rPr>
      <w:kern w:val="2"/>
      <w:sz w:val="18"/>
      <w:szCs w:val="18"/>
    </w:rPr>
  </w:style>
  <w:style w:type="character" w:customStyle="1" w:styleId="16">
    <w:name w:val="标题 1 Char"/>
    <w:link w:val="2"/>
    <w:qFormat/>
    <w:uiPriority w:val="0"/>
    <w:rPr>
      <w:rFonts w:ascii="Times New Roman" w:hAnsi="Times New Roman"/>
      <w:b/>
      <w:bCs/>
      <w:kern w:val="44"/>
      <w:sz w:val="44"/>
      <w:szCs w:val="44"/>
    </w:rPr>
  </w:style>
  <w:style w:type="paragraph" w:customStyle="1" w:styleId="17">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autoRedefine/>
    <w:qFormat/>
    <w:uiPriority w:val="0"/>
    <w:rPr>
      <w:kern w:val="2"/>
      <w:sz w:val="21"/>
      <w:szCs w:val="22"/>
    </w:rPr>
  </w:style>
  <w:style w:type="character" w:customStyle="1" w:styleId="19">
    <w:name w:val="批注主题 Char"/>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qFormat/>
    <w:uiPriority w:val="0"/>
    <w:rPr>
      <w:rFonts w:hint="default" w:ascii="TimesNewRomanPSMT" w:hAnsi="TimesNewRomanPSMT"/>
      <w:color w:val="000000"/>
      <w:sz w:val="32"/>
      <w:szCs w:val="32"/>
    </w:rPr>
  </w:style>
  <w:style w:type="character" w:customStyle="1" w:styleId="22">
    <w:name w:val="fontstyle11"/>
    <w:autoRedefine/>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30</Pages>
  <Words>1440</Words>
  <Characters>8209</Characters>
  <Lines>68</Lines>
  <Paragraphs>19</Paragraphs>
  <TotalTime>23</TotalTime>
  <ScaleCrop>false</ScaleCrop>
  <LinksUpToDate>false</LinksUpToDate>
  <CharactersWithSpaces>9630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WPS_1226555914</cp:lastModifiedBy>
  <cp:lastPrinted>2024-02-18T02:23:00Z</cp:lastPrinted>
  <dcterms:modified xsi:type="dcterms:W3CDTF">2024-03-19T02:37:45Z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4746AA2B63644A919A7677ADD6665D0C</vt:lpwstr>
  </property>
</Properties>
</file>