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宋体" w:hAnsi="宋体" w:cs="宋体"/>
          <w:b/>
          <w:bCs/>
          <w:kern w:val="0"/>
          <w:sz w:val="24"/>
          <w:szCs w:val="24"/>
        </w:rPr>
      </w:pPr>
      <w:r>
        <w:rPr>
          <w:rFonts w:hint="eastAsia" w:ascii="宋体" w:hAnsi="宋体" w:cs="宋体"/>
          <w:b/>
          <w:bCs/>
          <w:kern w:val="0"/>
          <w:sz w:val="24"/>
          <w:szCs w:val="24"/>
        </w:rPr>
        <w:t>附件</w:t>
      </w:r>
      <w:r>
        <w:rPr>
          <w:rFonts w:ascii="宋体" w:hAnsi="宋体" w:cs="宋体"/>
          <w:b/>
          <w:bCs/>
          <w:kern w:val="0"/>
          <w:sz w:val="24"/>
          <w:szCs w:val="24"/>
        </w:rPr>
        <w:t>1</w:t>
      </w:r>
    </w:p>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pPr>
    </w:p>
    <w:p>
      <w:pPr>
        <w:spacing w:line="660" w:lineRule="exact"/>
        <w:jc w:val="center"/>
        <w:rPr>
          <w:rFonts w:hint="eastAsia" w:ascii="宋体" w:hAnsi="宋体" w:cs="宋体"/>
          <w:b/>
          <w:bCs/>
          <w:kern w:val="0"/>
          <w:sz w:val="44"/>
          <w:szCs w:val="44"/>
          <w:lang w:val="en-US" w:eastAsia="zh-CN"/>
        </w:rPr>
      </w:pPr>
      <w:r>
        <w:rPr>
          <w:rFonts w:hint="eastAsia" w:ascii="宋体" w:hAnsi="宋体" w:cs="宋体"/>
          <w:b/>
          <w:bCs/>
          <w:kern w:val="0"/>
          <w:sz w:val="44"/>
          <w:szCs w:val="44"/>
          <w:lang w:val="en-US" w:eastAsia="zh-CN"/>
        </w:rPr>
        <w:t>积石山县政府机关服务中心</w:t>
      </w:r>
    </w:p>
    <w:p>
      <w:pPr>
        <w:spacing w:line="660" w:lineRule="exact"/>
        <w:jc w:val="center"/>
        <w:rPr>
          <w:rFonts w:ascii="宋体" w:hAnsi="宋体" w:cs="宋体"/>
          <w:b/>
          <w:bCs/>
          <w:kern w:val="0"/>
          <w:sz w:val="44"/>
          <w:szCs w:val="44"/>
        </w:rPr>
        <w:sectPr>
          <w:footerReference r:id="rId3" w:type="default"/>
          <w:pgSz w:w="11906" w:h="16838"/>
          <w:pgMar w:top="1134" w:right="1134" w:bottom="1440" w:left="1276" w:header="851" w:footer="992" w:gutter="0"/>
          <w:cols w:space="720" w:num="1"/>
          <w:docGrid w:type="lines" w:linePitch="312" w:charSpace="0"/>
        </w:sectPr>
      </w:pPr>
      <w:r>
        <w:rPr>
          <w:rFonts w:hint="eastAsia" w:ascii="宋体" w:hAnsi="宋体" w:cs="宋体"/>
          <w:b/>
          <w:bCs/>
          <w:kern w:val="0"/>
          <w:sz w:val="44"/>
          <w:szCs w:val="44"/>
        </w:rPr>
        <w:t xml:space="preserve">2024年部门预算公开情况说明 </w:t>
      </w:r>
    </w:p>
    <w:p>
      <w:pPr>
        <w:spacing w:line="660" w:lineRule="exact"/>
        <w:jc w:val="center"/>
        <w:rPr>
          <w:rFonts w:ascii="宋体" w:hAnsi="宋体" w:cs="宋体"/>
          <w:b/>
          <w:bCs/>
          <w:kern w:val="0"/>
          <w:sz w:val="44"/>
          <w:szCs w:val="44"/>
        </w:rPr>
      </w:pPr>
      <w:r>
        <w:rPr>
          <w:rFonts w:hint="eastAsia" w:ascii="宋体" w:hAnsi="宋体" w:cs="宋体"/>
          <w:b/>
          <w:bCs/>
          <w:kern w:val="0"/>
          <w:sz w:val="44"/>
          <w:szCs w:val="44"/>
        </w:rPr>
        <w:t>目  录</w:t>
      </w:r>
    </w:p>
    <w:p>
      <w:pPr>
        <w:spacing w:line="660" w:lineRule="exact"/>
        <w:jc w:val="center"/>
        <w:rPr>
          <w:rFonts w:ascii="宋体" w:hAnsi="宋体" w:cs="宋体"/>
          <w:b/>
          <w:bCs/>
          <w:kern w:val="0"/>
          <w:sz w:val="44"/>
          <w:szCs w:val="44"/>
        </w:rPr>
      </w:pPr>
    </w:p>
    <w:p>
      <w:pPr>
        <w:spacing w:line="30" w:lineRule="exact"/>
        <w:jc w:val="center"/>
        <w:rPr>
          <w:rFonts w:ascii="黑体" w:eastAsia="黑体"/>
          <w:color w:val="000000"/>
          <w:sz w:val="18"/>
          <w:szCs w:val="18"/>
        </w:rPr>
      </w:pP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第一部分 部门/单位基本概况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一、部门/单位职责</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二、机构设置情况</w:t>
      </w: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第二部分 2024年部门/单位预算情况说明</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一、收支总体情况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二、一般公共预算情况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三、一般公共预算财政拨款“三公”经费、培训费、会议费等情况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四、一般公共预算财政拨款机关运行经费情况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五、政府采购安排情况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六、国有资产占用情况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七、其他重要事项情况说明</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八、预算绩效管理情况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九、名词解释</w:t>
      </w: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第三部分 2024年部门（单位）预算公开表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一、部门/单位收支总体情况表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二、部门/单位收入总体情况表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三、部门/单位支出总体情况表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四、财政拨款收支总体情况表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五、财政拨款支出表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六、一般公共预算支出情况表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七、一般公共预算基本支出情况表</w:t>
      </w:r>
    </w:p>
    <w:p>
      <w:pPr>
        <w:spacing w:line="560" w:lineRule="exact"/>
        <w:ind w:firstLine="600" w:firstLineChars="200"/>
        <w:jc w:val="left"/>
        <w:rPr>
          <w:rFonts w:ascii="仿宋_GB2312" w:hAnsi="仿宋" w:eastAsia="仿宋_GB2312"/>
          <w:color w:val="000000"/>
          <w:spacing w:val="-20"/>
          <w:sz w:val="30"/>
          <w:szCs w:val="30"/>
        </w:rPr>
      </w:pPr>
      <w:r>
        <w:rPr>
          <w:rFonts w:hint="eastAsia" w:ascii="仿宋_GB2312" w:hAnsi="仿宋" w:eastAsia="仿宋_GB2312"/>
          <w:color w:val="000000"/>
          <w:sz w:val="30"/>
          <w:szCs w:val="30"/>
        </w:rPr>
        <w:t>八、</w:t>
      </w:r>
      <w:r>
        <w:rPr>
          <w:rFonts w:hint="eastAsia" w:ascii="仿宋_GB2312" w:hAnsi="仿宋" w:eastAsia="仿宋_GB2312"/>
          <w:color w:val="000000"/>
          <w:spacing w:val="-20"/>
          <w:sz w:val="30"/>
          <w:szCs w:val="30"/>
        </w:rPr>
        <w:t>一般公共预算财政拨款“三公”经费、会议费、培训费支出情况表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九、一般公共预算财政拨款机关运行经费表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十、政府性基金预算支出情况表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w:t>
      </w:r>
      <w:r>
        <w:rPr>
          <w:rFonts w:hint="eastAsia" w:ascii="仿宋_GB2312" w:hAnsi="仿宋" w:eastAsia="仿宋_GB2312"/>
          <w:color w:val="000000"/>
          <w:sz w:val="30"/>
          <w:szCs w:val="30"/>
          <w:lang w:val="en-US" w:eastAsia="zh-CN"/>
        </w:rPr>
        <w:t>一</w:t>
      </w:r>
      <w:r>
        <w:rPr>
          <w:rFonts w:hint="eastAsia" w:ascii="仿宋_GB2312" w:hAnsi="仿宋" w:eastAsia="仿宋_GB2312"/>
          <w:color w:val="000000"/>
          <w:sz w:val="30"/>
          <w:szCs w:val="30"/>
        </w:rPr>
        <w:t>、国有资本经营预算支出情况表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w:t>
      </w:r>
      <w:r>
        <w:rPr>
          <w:rFonts w:hint="eastAsia" w:ascii="仿宋_GB2312" w:hAnsi="仿宋" w:eastAsia="仿宋_GB2312"/>
          <w:color w:val="000000"/>
          <w:sz w:val="30"/>
          <w:szCs w:val="30"/>
          <w:lang w:val="en-US" w:eastAsia="zh-CN"/>
        </w:rPr>
        <w:t>二</w:t>
      </w:r>
      <w:r>
        <w:rPr>
          <w:rFonts w:hint="eastAsia" w:ascii="仿宋_GB2312" w:hAnsi="仿宋" w:eastAsia="仿宋_GB2312"/>
          <w:color w:val="000000"/>
          <w:sz w:val="30"/>
          <w:szCs w:val="30"/>
        </w:rPr>
        <w:t>、部门/单位整体支出绩效目标表和项目支出绩效目标表</w:t>
      </w:r>
    </w:p>
    <w:p>
      <w:pPr>
        <w:spacing w:line="660" w:lineRule="exact"/>
        <w:jc w:val="center"/>
        <w:rPr>
          <w:rFonts w:ascii="仿宋_GB2312" w:hAnsi="宋体" w:eastAsia="仿宋_GB2312" w:cs="宋体"/>
          <w:b/>
          <w:bCs/>
          <w:kern w:val="0"/>
          <w:sz w:val="44"/>
          <w:szCs w:val="44"/>
        </w:rPr>
      </w:pPr>
    </w:p>
    <w:p>
      <w:pPr>
        <w:spacing w:line="600" w:lineRule="exact"/>
        <w:ind w:firstLine="562" w:firstLineChars="200"/>
        <w:rPr>
          <w:rFonts w:ascii="仿宋_GB2312" w:hAnsi="仿宋" w:eastAsia="仿宋_GB2312" w:cs="宋体"/>
          <w:b/>
          <w:kern w:val="0"/>
          <w:sz w:val="28"/>
          <w:szCs w:val="28"/>
        </w:rPr>
        <w:sectPr>
          <w:footerReference r:id="rId4" w:type="default"/>
          <w:pgSz w:w="11906" w:h="16838"/>
          <w:pgMar w:top="1134" w:right="1134" w:bottom="1440" w:left="1276" w:header="851" w:footer="992" w:gutter="0"/>
          <w:pgNumType w:start="1"/>
          <w:cols w:space="720" w:num="1"/>
          <w:docGrid w:type="lines" w:linePitch="312" w:charSpace="0"/>
        </w:sectPr>
      </w:pPr>
    </w:p>
    <w:p>
      <w:pPr>
        <w:spacing w:line="600" w:lineRule="exact"/>
        <w:ind w:firstLine="643" w:firstLineChars="200"/>
        <w:rPr>
          <w:rFonts w:ascii="仿宋_GB2312" w:hAnsi="黑体" w:eastAsia="仿宋_GB2312" w:cs="宋体"/>
          <w:b/>
          <w:kern w:val="0"/>
          <w:sz w:val="32"/>
          <w:szCs w:val="32"/>
        </w:rPr>
      </w:pPr>
      <w:r>
        <w:rPr>
          <w:rFonts w:hint="eastAsia" w:ascii="仿宋_GB2312" w:hAnsi="黑体" w:eastAsia="仿宋_GB2312" w:cs="宋体"/>
          <w:b/>
          <w:kern w:val="0"/>
          <w:sz w:val="32"/>
          <w:szCs w:val="32"/>
        </w:rPr>
        <w:t>前言</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按照《中华人民共和国预算法》《中华人民共和国预算法实施条例》以及</w:t>
      </w:r>
      <w:r>
        <w:rPr>
          <w:rFonts w:ascii="仿宋_GB2312" w:hAnsi="仿宋" w:eastAsia="仿宋_GB2312" w:cs="宋体"/>
          <w:kern w:val="0"/>
          <w:sz w:val="32"/>
          <w:szCs w:val="32"/>
        </w:rPr>
        <w:t>财政部</w:t>
      </w:r>
      <w:r>
        <w:rPr>
          <w:rFonts w:hint="eastAsia" w:ascii="仿宋_GB2312" w:hAnsi="仿宋" w:eastAsia="仿宋_GB2312" w:cs="宋体"/>
          <w:kern w:val="0"/>
          <w:sz w:val="32"/>
          <w:szCs w:val="32"/>
        </w:rPr>
        <w:t>《地方预决算公开操作规程》《关于推进部门所属单位预算公开的指导意见》和《中共甘肃省委办公厅 甘肃省人民政府办公厅关于进一步推进预算公开工作的实施方案》要求，现将2024年部门预算公开如下：</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一、部门/单位职责</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（一）负责县级机关事务的服务工作，提出机关事务服务工作的具体措施和办法并组织实施。参与拟订机关事务管理、后勤服务体制改革的规范性文件和政策、标准。</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（二）负责中心的财务和国有资产管理工作，配合做好县级行政事业单位后勤服务有关经费预决算编制及相关预算资金管理工作。</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（三）指导协调其他集中办公区域的治安保卫工作。</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（四）负责县级行政事业单位房地产服务工作。配合做好县级行政事业单位办公用房、技术业务用房、县级干部周转房和其他公有房产的有关工作。</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（五）负责全县行政事业单位公务用车服务工作。配合做好全县行政事业单位机要通信用车、应急保障用车和其他按照规定配备的公务用车的有关工作。</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（六）负责全县公共机构节能服务工作。</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（七）配合做好公务接待工作，参与重要会议、重大活动、重大接待任务的总务保障工作。</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（八）负责管理县级机关集中办公区水、电、暖及大型设备的安装、改造、供应和维护工作。</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（九）负责县级机关集中办公区的日常管理工作和物业管理工作。负责县级机关办公区干部职工的餐饮保障服务。</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二、机构设置情况</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（一）机关内设机构</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积石山县机关服务中心组织协调机关的政务工作，制定有关规章制度并监督实施;负责文秘档案、财务管理、机构编制、干部人事、劳动工资的管理与服务等工作。</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积石山县机关服务中心</w:t>
      </w:r>
      <w:r>
        <w:rPr>
          <w:rFonts w:hint="eastAsia" w:ascii="仿宋_GB2312" w:hAnsi="仿宋" w:eastAsia="仿宋_GB2312" w:cs="宋体"/>
          <w:kern w:val="0"/>
          <w:sz w:val="32"/>
          <w:szCs w:val="32"/>
          <w:lang w:eastAsia="zh-CN"/>
        </w:rPr>
        <w:t>事业</w:t>
      </w:r>
      <w:r>
        <w:rPr>
          <w:rFonts w:hint="eastAsia" w:ascii="仿宋_GB2312" w:hAnsi="仿宋" w:eastAsia="仿宋_GB2312" w:cs="宋体"/>
          <w:kern w:val="0"/>
          <w:sz w:val="32"/>
          <w:szCs w:val="32"/>
        </w:rPr>
        <w:t>编制</w:t>
      </w:r>
      <w:r>
        <w:rPr>
          <w:rFonts w:hint="eastAsia" w:ascii="仿宋_GB2312" w:hAnsi="仿宋" w:eastAsia="仿宋_GB2312" w:cs="宋体"/>
          <w:kern w:val="0"/>
          <w:sz w:val="32"/>
          <w:szCs w:val="32"/>
          <w:lang w:val="en-US" w:eastAsia="zh-CN"/>
        </w:rPr>
        <w:t>24</w:t>
      </w:r>
      <w:r>
        <w:rPr>
          <w:rFonts w:hint="eastAsia" w:ascii="仿宋_GB2312" w:hAnsi="仿宋" w:eastAsia="仿宋_GB2312" w:cs="宋体"/>
          <w:kern w:val="0"/>
          <w:sz w:val="32"/>
          <w:szCs w:val="32"/>
        </w:rPr>
        <w:t>名，实有行政编制人员</w:t>
      </w:r>
      <w:r>
        <w:rPr>
          <w:rFonts w:hint="eastAsia" w:ascii="仿宋_GB2312" w:hAnsi="仿宋" w:eastAsia="仿宋_GB2312" w:cs="宋体"/>
          <w:kern w:val="0"/>
          <w:sz w:val="32"/>
          <w:szCs w:val="32"/>
          <w:lang w:val="en-US" w:eastAsia="zh-CN"/>
        </w:rPr>
        <w:t>24</w:t>
      </w:r>
      <w:r>
        <w:rPr>
          <w:rFonts w:hint="eastAsia" w:ascii="仿宋_GB2312" w:hAnsi="仿宋" w:eastAsia="仿宋_GB2312" w:cs="宋体"/>
          <w:kern w:val="0"/>
          <w:sz w:val="32"/>
          <w:szCs w:val="32"/>
        </w:rPr>
        <w:t>名，实有事业编制人员</w:t>
      </w:r>
      <w:r>
        <w:rPr>
          <w:rFonts w:hint="eastAsia" w:ascii="仿宋_GB2312" w:hAnsi="仿宋" w:eastAsia="仿宋_GB2312" w:cs="宋体"/>
          <w:kern w:val="0"/>
          <w:sz w:val="32"/>
          <w:szCs w:val="32"/>
          <w:lang w:val="en-US" w:eastAsia="zh-CN"/>
        </w:rPr>
        <w:t>24</w:t>
      </w:r>
      <w:r>
        <w:rPr>
          <w:rFonts w:hint="eastAsia" w:ascii="仿宋_GB2312" w:hAnsi="仿宋" w:eastAsia="仿宋_GB2312" w:cs="宋体"/>
          <w:kern w:val="0"/>
          <w:sz w:val="32"/>
          <w:szCs w:val="32"/>
        </w:rPr>
        <w:t>名。一般预算财政开支人数</w:t>
      </w:r>
      <w:r>
        <w:rPr>
          <w:rFonts w:hint="eastAsia" w:ascii="仿宋_GB2312" w:hAnsi="仿宋" w:eastAsia="仿宋_GB2312" w:cs="宋体"/>
          <w:kern w:val="0"/>
          <w:sz w:val="32"/>
          <w:szCs w:val="32"/>
          <w:lang w:val="en-US" w:eastAsia="zh-CN"/>
        </w:rPr>
        <w:t>24</w:t>
      </w:r>
      <w:r>
        <w:rPr>
          <w:rFonts w:hint="eastAsia" w:ascii="仿宋_GB2312" w:hAnsi="仿宋" w:eastAsia="仿宋_GB2312" w:cs="宋体"/>
          <w:kern w:val="0"/>
          <w:sz w:val="32"/>
          <w:szCs w:val="32"/>
        </w:rPr>
        <w:t>人</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（二）参照公务员法管理单位</w:t>
      </w:r>
    </w:p>
    <w:p>
      <w:pPr>
        <w:spacing w:line="600" w:lineRule="exact"/>
        <w:ind w:firstLine="640" w:firstLineChars="200"/>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本单位为事业单位。</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（三）直属事业单位</w:t>
      </w:r>
    </w:p>
    <w:p>
      <w:pPr>
        <w:spacing w:line="600" w:lineRule="exact"/>
        <w:ind w:firstLine="640" w:firstLineChars="200"/>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本单位无直属事业单位。</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三、部门/单位收支总体情况</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按照预算管理有关规定，2024年部门（单位）收支包括机关预算和直属单位预算在内的汇总情况。</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2024年部门收支总预算</w:t>
      </w:r>
      <w:r>
        <w:rPr>
          <w:rFonts w:hint="eastAsia" w:ascii="仿宋_GB2312" w:hAnsi="仿宋" w:eastAsia="仿宋_GB2312" w:cs="宋体"/>
          <w:kern w:val="0"/>
          <w:sz w:val="32"/>
          <w:szCs w:val="32"/>
          <w:lang w:val="en-US" w:eastAsia="zh-CN"/>
        </w:rPr>
        <w:t>1248.39</w:t>
      </w:r>
      <w:r>
        <w:rPr>
          <w:rFonts w:hint="eastAsia" w:ascii="仿宋_GB2312" w:hAnsi="仿宋" w:eastAsia="仿宋_GB2312" w:cs="宋体"/>
          <w:kern w:val="0"/>
          <w:sz w:val="32"/>
          <w:szCs w:val="32"/>
        </w:rPr>
        <w:t>万元。按照综合预算的原则，部门（单位）所有收入和支出均纳入部门预算管理。收入包括：一般公共预算拨款收入、政府性基金预算拨款收入、事业收入、事业单位经营收入、其他收入、使用非财政拨款结余、上年结转；支出包括：一般公共服务支出、公共安全支出、教育支出、科学技术支出、社会保障和就业支出、卫生健康支出、交通运输支出、住房保障支出、其他支出。</w:t>
      </w:r>
    </w:p>
    <w:p>
      <w:pPr>
        <w:spacing w:line="600" w:lineRule="exact"/>
        <w:ind w:firstLine="643" w:firstLineChars="200"/>
        <w:rPr>
          <w:rFonts w:ascii="楷体_GB2312" w:hAnsi="楷体" w:eastAsia="楷体_GB2312"/>
          <w:sz w:val="32"/>
          <w:szCs w:val="32"/>
        </w:rPr>
      </w:pPr>
      <w:r>
        <w:rPr>
          <w:rFonts w:hint="eastAsia" w:ascii="楷体_GB2312" w:hAnsi="楷体" w:eastAsia="楷体_GB2312" w:cs="宋体"/>
          <w:b/>
          <w:bCs/>
          <w:kern w:val="0"/>
          <w:sz w:val="32"/>
          <w:szCs w:val="32"/>
        </w:rPr>
        <w:t>（一）收入预算</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2024年收入预算</w:t>
      </w:r>
      <w:r>
        <w:rPr>
          <w:rFonts w:hint="eastAsia" w:ascii="仿宋_GB2312" w:hAnsi="仿宋" w:eastAsia="仿宋_GB2312"/>
          <w:sz w:val="32"/>
          <w:szCs w:val="32"/>
          <w:lang w:val="en-US" w:eastAsia="zh-CN"/>
        </w:rPr>
        <w:t>1248.39</w:t>
      </w:r>
      <w:r>
        <w:rPr>
          <w:rFonts w:hint="eastAsia" w:ascii="仿宋_GB2312" w:hAnsi="仿宋" w:eastAsia="仿宋_GB2312"/>
          <w:sz w:val="32"/>
          <w:szCs w:val="32"/>
        </w:rPr>
        <w:t>万元（详见部门/单位预算公开表1,2）。包括：</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一般公共预算收入</w:t>
      </w:r>
      <w:r>
        <w:rPr>
          <w:rFonts w:hint="eastAsia" w:ascii="仿宋_GB2312" w:hAnsi="仿宋" w:eastAsia="仿宋_GB2312"/>
          <w:sz w:val="32"/>
          <w:szCs w:val="32"/>
          <w:lang w:val="en-US" w:eastAsia="zh-CN"/>
        </w:rPr>
        <w:t>1248.39</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政府性基金预算收入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上年结转收入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其他收入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（二）支出预算</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2024年支出预算</w:t>
      </w:r>
      <w:r>
        <w:rPr>
          <w:rFonts w:hint="eastAsia" w:ascii="仿宋_GB2312" w:hAnsi="仿宋" w:eastAsia="仿宋_GB2312"/>
          <w:sz w:val="32"/>
          <w:szCs w:val="32"/>
          <w:lang w:val="en-US" w:eastAsia="zh-CN"/>
        </w:rPr>
        <w:t>1248.39</w:t>
      </w:r>
      <w:r>
        <w:rPr>
          <w:rFonts w:hint="eastAsia" w:ascii="仿宋_GB2312" w:hAnsi="仿宋" w:eastAsia="仿宋_GB2312"/>
          <w:sz w:val="32"/>
          <w:szCs w:val="32"/>
        </w:rPr>
        <w:t>万元（详见部门/单位预算公开表3）。</w:t>
      </w:r>
      <w:r>
        <w:rPr>
          <w:rStyle w:val="20"/>
          <w:rFonts w:hint="default" w:hAnsi="仿宋"/>
        </w:rPr>
        <w:t>其中：基本支出</w:t>
      </w:r>
      <w:r>
        <w:rPr>
          <w:rStyle w:val="21"/>
          <w:rFonts w:hint="eastAsia" w:ascii="仿宋_GB2312" w:hAnsi="仿宋" w:eastAsia="仿宋_GB2312"/>
          <w:lang w:val="en-US" w:eastAsia="zh-CN"/>
        </w:rPr>
        <w:t>384.39</w:t>
      </w:r>
      <w:r>
        <w:rPr>
          <w:rStyle w:val="20"/>
          <w:rFonts w:hint="default" w:hAnsi="仿宋"/>
        </w:rPr>
        <w:t>万元， 占</w:t>
      </w:r>
      <w:r>
        <w:rPr>
          <w:rStyle w:val="20"/>
          <w:rFonts w:hint="eastAsia" w:hAnsi="仿宋" w:eastAsia="仿宋_GB2312"/>
          <w:lang w:val="en-US" w:eastAsia="zh-CN"/>
        </w:rPr>
        <w:t>30.79</w:t>
      </w:r>
      <w:r>
        <w:rPr>
          <w:rStyle w:val="21"/>
          <w:rFonts w:hint="eastAsia" w:ascii="仿宋_GB2312" w:hAnsi="仿宋" w:eastAsia="仿宋_GB2312"/>
        </w:rPr>
        <w:t>%</w:t>
      </w:r>
      <w:r>
        <w:rPr>
          <w:rStyle w:val="20"/>
          <w:rFonts w:hint="default" w:hAnsi="仿宋"/>
        </w:rPr>
        <w:t>； 项目支出</w:t>
      </w:r>
      <w:r>
        <w:rPr>
          <w:rStyle w:val="20"/>
          <w:rFonts w:hint="eastAsia" w:hAnsi="仿宋" w:eastAsia="仿宋_GB2312"/>
          <w:lang w:val="en-US" w:eastAsia="zh-CN"/>
        </w:rPr>
        <w:t>864</w:t>
      </w:r>
      <w:r>
        <w:rPr>
          <w:rStyle w:val="20"/>
          <w:rFonts w:hint="default" w:hAnsi="仿宋"/>
        </w:rPr>
        <w:t>万元，占</w:t>
      </w:r>
      <w:r>
        <w:rPr>
          <w:rStyle w:val="21"/>
          <w:rFonts w:hint="eastAsia" w:ascii="仿宋_GB2312" w:hAnsi="仿宋" w:eastAsia="仿宋_GB2312"/>
          <w:lang w:val="en-US" w:eastAsia="zh-CN"/>
        </w:rPr>
        <w:t>69.21</w:t>
      </w:r>
      <w:r>
        <w:rPr>
          <w:rStyle w:val="21"/>
          <w:rFonts w:hint="eastAsia" w:ascii="仿宋_GB2312" w:hAnsi="仿宋" w:eastAsia="仿宋_GB2312"/>
        </w:rPr>
        <w:t xml:space="preserve"> %</w:t>
      </w:r>
      <w:r>
        <w:rPr>
          <w:rStyle w:val="20"/>
          <w:rFonts w:hint="default" w:hAnsi="仿宋"/>
        </w:rPr>
        <w:t>； 上年结转</w:t>
      </w:r>
      <w:r>
        <w:rPr>
          <w:rStyle w:val="21"/>
          <w:rFonts w:hint="eastAsia" w:ascii="仿宋_GB2312" w:hAnsi="仿宋" w:eastAsia="仿宋_GB2312"/>
          <w:lang w:val="en-US" w:eastAsia="zh-CN"/>
        </w:rPr>
        <w:t>0</w:t>
      </w:r>
      <w:r>
        <w:rPr>
          <w:rStyle w:val="20"/>
          <w:rFonts w:hint="default" w:hAnsi="仿宋"/>
        </w:rPr>
        <w:t>万元， 占</w:t>
      </w:r>
      <w:r>
        <w:rPr>
          <w:rStyle w:val="21"/>
          <w:rFonts w:hint="eastAsia" w:ascii="仿宋_GB2312" w:hAnsi="仿宋" w:eastAsia="仿宋_GB2312"/>
          <w:lang w:val="en-US" w:eastAsia="zh-CN"/>
        </w:rPr>
        <w:t>0</w:t>
      </w:r>
      <w:r>
        <w:rPr>
          <w:rStyle w:val="21"/>
          <w:rFonts w:hint="eastAsia" w:ascii="仿宋_GB2312" w:hAnsi="仿宋" w:eastAsia="仿宋_GB2312"/>
        </w:rPr>
        <w:t xml:space="preserve"> %</w:t>
      </w:r>
      <w:r>
        <w:rPr>
          <w:rStyle w:val="20"/>
          <w:rFonts w:hint="default" w:hAnsi="仿宋"/>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四、一般公共预算情况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Style w:val="21"/>
          <w:rFonts w:hint="eastAsia" w:ascii="仿宋_GB2312" w:hAnsi="仿宋" w:eastAsia="仿宋_GB2312"/>
        </w:rPr>
        <w:t xml:space="preserve">2024 </w:t>
      </w:r>
      <w:r>
        <w:rPr>
          <w:rStyle w:val="20"/>
          <w:rFonts w:hint="default" w:hAnsi="仿宋"/>
        </w:rPr>
        <w:t>年一般公共预算当年支出</w:t>
      </w:r>
      <w:r>
        <w:rPr>
          <w:rStyle w:val="21"/>
          <w:rFonts w:hint="eastAsia" w:ascii="仿宋_GB2312" w:hAnsi="仿宋" w:eastAsia="仿宋_GB2312"/>
          <w:lang w:val="en-US" w:eastAsia="zh-CN"/>
        </w:rPr>
        <w:t>1248.39</w:t>
      </w:r>
      <w:r>
        <w:rPr>
          <w:rStyle w:val="20"/>
          <w:rFonts w:hint="default" w:hAnsi="仿宋"/>
        </w:rPr>
        <w:t>万元，包括：一般公共服务支出</w:t>
      </w:r>
      <w:r>
        <w:rPr>
          <w:rStyle w:val="21"/>
          <w:rFonts w:hint="eastAsia" w:ascii="仿宋_GB2312" w:hAnsi="仿宋" w:eastAsia="仿宋_GB2312"/>
          <w:lang w:val="en-US" w:eastAsia="zh-CN"/>
        </w:rPr>
        <w:t>1175.32</w:t>
      </w:r>
      <w:r>
        <w:rPr>
          <w:rStyle w:val="20"/>
          <w:rFonts w:hint="default" w:hAnsi="仿宋"/>
        </w:rPr>
        <w:t>万元、社会保障和就业支出</w:t>
      </w:r>
      <w:r>
        <w:rPr>
          <w:rStyle w:val="21"/>
          <w:rFonts w:hint="eastAsia" w:ascii="仿宋_GB2312" w:hAnsi="仿宋" w:eastAsia="仿宋_GB2312"/>
          <w:lang w:val="en-US" w:eastAsia="zh-CN"/>
        </w:rPr>
        <w:t>47.84</w:t>
      </w:r>
      <w:r>
        <w:rPr>
          <w:rStyle w:val="20"/>
          <w:rFonts w:hint="default" w:hAnsi="仿宋"/>
        </w:rPr>
        <w:t>万元、</w:t>
      </w:r>
      <w:r>
        <w:rPr>
          <w:rStyle w:val="20"/>
          <w:rFonts w:hint="eastAsia" w:hAnsi="仿宋" w:eastAsia="仿宋_GB2312"/>
          <w:lang w:val="en-US" w:eastAsia="zh-CN"/>
        </w:rPr>
        <w:t>卫生健康支出0.27万元，住房保障支出24.96万元。</w:t>
      </w:r>
      <w:r>
        <w:rPr>
          <w:rFonts w:hint="eastAsia" w:ascii="仿宋_GB2312" w:hAnsi="仿宋" w:eastAsia="仿宋_GB2312"/>
          <w:sz w:val="32"/>
          <w:szCs w:val="32"/>
        </w:rPr>
        <w:t>具体安排情况如下</w:t>
      </w:r>
      <w:r>
        <w:rPr>
          <w:rFonts w:hint="eastAsia" w:ascii="仿宋_GB2312" w:hAnsi="微软雅黑" w:eastAsia="仿宋_GB2312"/>
          <w:sz w:val="32"/>
          <w:szCs w:val="32"/>
        </w:rPr>
        <w:t>（详见部门（单位）预算公开表4,5,6,7）</w:t>
      </w:r>
      <w:r>
        <w:rPr>
          <w:rFonts w:hint="eastAsia" w:ascii="仿宋_GB2312" w:hAnsi="仿宋" w:eastAsia="仿宋_GB2312"/>
          <w:sz w:val="32"/>
          <w:szCs w:val="32"/>
        </w:rPr>
        <w:t>：</w:t>
      </w:r>
    </w:p>
    <w:p>
      <w:pPr>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（一）基本支出</w:t>
      </w:r>
    </w:p>
    <w:p>
      <w:pPr>
        <w:widowControl/>
        <w:spacing w:line="640" w:lineRule="exact"/>
        <w:ind w:firstLine="640" w:firstLineChars="200"/>
        <w:contextualSpacing/>
        <w:jc w:val="left"/>
        <w:rPr>
          <w:rFonts w:hint="default" w:ascii="仿宋_GB2312" w:hAnsi="仿宋" w:eastAsia="仿宋_GB2312"/>
          <w:sz w:val="32"/>
          <w:szCs w:val="32"/>
          <w:lang w:val="en-US" w:eastAsia="zh-CN"/>
        </w:rPr>
      </w:pPr>
      <w:r>
        <w:rPr>
          <w:rFonts w:hint="eastAsia" w:ascii="仿宋_GB2312" w:hAnsi="仿宋" w:eastAsia="仿宋_GB2312"/>
          <w:sz w:val="32"/>
          <w:szCs w:val="32"/>
        </w:rPr>
        <w:t>2024年基本支出</w:t>
      </w:r>
      <w:r>
        <w:rPr>
          <w:rFonts w:hint="eastAsia" w:ascii="仿宋_GB2312" w:hAnsi="仿宋" w:eastAsia="仿宋_GB2312"/>
          <w:sz w:val="32"/>
          <w:szCs w:val="32"/>
          <w:lang w:val="en-US" w:eastAsia="zh-CN"/>
        </w:rPr>
        <w:t>384.39</w:t>
      </w:r>
      <w:r>
        <w:rPr>
          <w:rFonts w:hint="eastAsia" w:ascii="仿宋_GB2312" w:hAnsi="仿宋" w:eastAsia="仿宋_GB2312"/>
          <w:sz w:val="32"/>
          <w:szCs w:val="32"/>
        </w:rPr>
        <w:t>万元，比2023年预算</w:t>
      </w:r>
      <w:r>
        <w:rPr>
          <w:rFonts w:hint="eastAsia" w:ascii="仿宋_GB2312" w:hAnsi="仿宋" w:eastAsia="仿宋_GB2312"/>
          <w:sz w:val="32"/>
          <w:szCs w:val="32"/>
          <w:lang w:val="en-US" w:eastAsia="zh-CN"/>
        </w:rPr>
        <w:t>1212.5万元</w:t>
      </w:r>
      <w:r>
        <w:rPr>
          <w:rFonts w:hint="eastAsia" w:ascii="仿宋_GB2312" w:hAnsi="仿宋" w:eastAsia="仿宋_GB2312"/>
          <w:sz w:val="32"/>
          <w:szCs w:val="32"/>
        </w:rPr>
        <w:t xml:space="preserve">减少  </w:t>
      </w:r>
      <w:r>
        <w:rPr>
          <w:rFonts w:hint="eastAsia" w:ascii="仿宋_GB2312" w:hAnsi="仿宋" w:eastAsia="仿宋_GB2312"/>
          <w:sz w:val="32"/>
          <w:szCs w:val="32"/>
          <w:lang w:val="en-US" w:eastAsia="zh-CN"/>
        </w:rPr>
        <w:t>828.11</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68.3</w:t>
      </w:r>
      <w:r>
        <w:rPr>
          <w:rFonts w:hint="eastAsia" w:ascii="仿宋_GB2312" w:hAnsi="仿宋" w:eastAsia="仿宋_GB2312"/>
          <w:sz w:val="32"/>
          <w:szCs w:val="32"/>
        </w:rPr>
        <w:t>%，下降的主要原因是</w:t>
      </w:r>
      <w:r>
        <w:rPr>
          <w:rFonts w:hint="eastAsia" w:ascii="仿宋_GB2312" w:hAnsi="仿宋" w:eastAsia="仿宋_GB2312"/>
          <w:sz w:val="32"/>
          <w:szCs w:val="32"/>
          <w:lang w:val="en-US" w:eastAsia="zh-CN"/>
        </w:rPr>
        <w:t>本年度将公车购置费144万元、公车运行维护费480万元、后勤服务费240万元列为项目支出。</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其中：人员经费支出</w:t>
      </w:r>
      <w:r>
        <w:rPr>
          <w:rFonts w:hint="eastAsia" w:ascii="仿宋_GB2312" w:hAnsi="仿宋" w:eastAsia="仿宋_GB2312"/>
          <w:sz w:val="32"/>
          <w:szCs w:val="32"/>
          <w:lang w:val="en-US" w:eastAsia="zh-CN"/>
        </w:rPr>
        <w:t>361.23</w:t>
      </w:r>
      <w:r>
        <w:rPr>
          <w:rFonts w:hint="eastAsia" w:ascii="仿宋_GB2312" w:hAnsi="仿宋" w:eastAsia="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个人农业生产补贴、代缴社会保险费 、其他对个人和家庭的补助等。</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公用经费支出</w:t>
      </w:r>
      <w:r>
        <w:rPr>
          <w:rFonts w:hint="eastAsia" w:ascii="仿宋_GB2312" w:hAnsi="仿宋" w:eastAsia="仿宋_GB2312"/>
          <w:sz w:val="32"/>
          <w:szCs w:val="32"/>
          <w:lang w:val="en-US" w:eastAsia="zh-CN"/>
        </w:rPr>
        <w:t>23.16</w:t>
      </w:r>
      <w:r>
        <w:rPr>
          <w:rFonts w:hint="eastAsia" w:ascii="仿宋_GB2312" w:hAnsi="仿宋" w:eastAsia="仿宋_GB2312"/>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等。</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（二）项目支出</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2024年一般公共预算财政拨款项目支出预算</w:t>
      </w:r>
      <w:r>
        <w:rPr>
          <w:rFonts w:hint="eastAsia" w:ascii="仿宋_GB2312" w:hAnsi="仿宋" w:eastAsia="仿宋_GB2312"/>
          <w:sz w:val="32"/>
          <w:szCs w:val="32"/>
          <w:lang w:val="en-US" w:eastAsia="zh-CN"/>
        </w:rPr>
        <w:t>864</w:t>
      </w:r>
      <w:r>
        <w:rPr>
          <w:rFonts w:hint="eastAsia" w:ascii="仿宋_GB2312" w:hAnsi="仿宋" w:eastAsia="仿宋_GB2312"/>
          <w:sz w:val="32"/>
          <w:szCs w:val="32"/>
        </w:rPr>
        <w:t>万元，比2023年预算增加</w:t>
      </w:r>
      <w:r>
        <w:rPr>
          <w:rFonts w:hint="eastAsia" w:ascii="仿宋_GB2312" w:hAnsi="仿宋" w:eastAsia="仿宋_GB2312"/>
          <w:sz w:val="32"/>
          <w:szCs w:val="32"/>
          <w:lang w:val="en-US" w:eastAsia="zh-CN"/>
        </w:rPr>
        <w:t>864</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100</w:t>
      </w:r>
      <w:r>
        <w:rPr>
          <w:rFonts w:hint="eastAsia" w:ascii="仿宋_GB2312" w:hAnsi="仿宋" w:eastAsia="仿宋_GB2312"/>
          <w:sz w:val="32"/>
          <w:szCs w:val="32"/>
        </w:rPr>
        <w:t xml:space="preserve"> %，增长（减少）的主要原因是</w:t>
      </w:r>
      <w:r>
        <w:rPr>
          <w:rFonts w:hint="eastAsia" w:ascii="仿宋_GB2312" w:hAnsi="仿宋" w:eastAsia="仿宋_GB2312"/>
          <w:sz w:val="32"/>
          <w:szCs w:val="32"/>
          <w:lang w:val="en-US" w:eastAsia="zh-CN"/>
        </w:rPr>
        <w:t>本年度将公车购置费144万元、公车运行维护费480万元、后勤服务费240万元列为项目支出。</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（三）支出功能分类说明</w:t>
      </w:r>
    </w:p>
    <w:p>
      <w:pPr>
        <w:widowControl/>
        <w:adjustRightInd w:val="0"/>
        <w:snapToGrid w:val="0"/>
        <w:spacing w:line="640" w:lineRule="exact"/>
        <w:ind w:firstLine="640" w:firstLineChars="200"/>
        <w:contextualSpacing/>
        <w:jc w:val="left"/>
        <w:rPr>
          <w:rFonts w:hint="default" w:ascii="仿宋_GB2312" w:eastAsia="仿宋_GB2312"/>
          <w:color w:val="000000"/>
          <w:sz w:val="32"/>
          <w:szCs w:val="32"/>
          <w:lang w:val="en-US" w:eastAsia="zh-CN"/>
        </w:rPr>
      </w:pPr>
      <w:r>
        <w:rPr>
          <w:rFonts w:hint="eastAsia" w:ascii="仿宋_GB2312" w:hAnsi="TimesNewRomanPS-BoldMT" w:eastAsia="仿宋_GB2312"/>
          <w:bCs/>
          <w:color w:val="000000"/>
          <w:sz w:val="32"/>
          <w:szCs w:val="32"/>
        </w:rPr>
        <w:t>1.</w:t>
      </w:r>
      <w:r>
        <w:rPr>
          <w:rFonts w:hint="eastAsia" w:ascii="仿宋_GB2312" w:eastAsia="仿宋_GB2312"/>
          <w:color w:val="000000"/>
          <w:sz w:val="32"/>
          <w:szCs w:val="32"/>
        </w:rPr>
        <w:t xml:space="preserve">一般公共服务（ 类） </w:t>
      </w:r>
      <w:r>
        <w:rPr>
          <w:rFonts w:hint="eastAsia" w:ascii="仿宋_GB2312" w:eastAsia="仿宋_GB2312"/>
          <w:color w:val="000000"/>
          <w:sz w:val="32"/>
          <w:szCs w:val="32"/>
          <w:lang w:val="en-US" w:eastAsia="zh-CN"/>
        </w:rPr>
        <w:t>政府办公厅及相关事务支出</w:t>
      </w:r>
      <w:r>
        <w:rPr>
          <w:rFonts w:hint="eastAsia" w:ascii="仿宋_GB2312" w:eastAsia="仿宋_GB2312"/>
          <w:color w:val="000000"/>
          <w:sz w:val="32"/>
          <w:szCs w:val="32"/>
        </w:rPr>
        <w:t>（ 款） 派</w:t>
      </w:r>
      <w:r>
        <w:rPr>
          <w:rFonts w:hint="eastAsia" w:ascii="仿宋_GB2312" w:eastAsia="仿宋_GB2312"/>
          <w:color w:val="000000"/>
          <w:sz w:val="32"/>
          <w:szCs w:val="32"/>
          <w:lang w:val="en-US" w:eastAsia="zh-CN"/>
        </w:rPr>
        <w:t>事业运行</w:t>
      </w:r>
      <w:r>
        <w:rPr>
          <w:rFonts w:hint="eastAsia" w:ascii="仿宋_GB2312" w:eastAsia="仿宋_GB2312"/>
          <w:color w:val="000000"/>
          <w:sz w:val="32"/>
          <w:szCs w:val="32"/>
        </w:rPr>
        <w:t>（ 项）</w:t>
      </w:r>
      <w:r>
        <w:rPr>
          <w:rFonts w:hint="eastAsia" w:ascii="仿宋_GB2312" w:hAnsi="TimesNewRomanPSMT" w:eastAsia="仿宋_GB2312"/>
          <w:color w:val="000000"/>
          <w:sz w:val="32"/>
          <w:szCs w:val="32"/>
        </w:rPr>
        <w:t xml:space="preserve">2024 </w:t>
      </w:r>
      <w:r>
        <w:rPr>
          <w:rFonts w:hint="eastAsia" w:ascii="仿宋_GB2312" w:eastAsia="仿宋_GB2312"/>
          <w:color w:val="000000"/>
          <w:sz w:val="32"/>
          <w:szCs w:val="32"/>
        </w:rPr>
        <w:t>年预算数为</w:t>
      </w:r>
      <w:r>
        <w:rPr>
          <w:rFonts w:hint="eastAsia" w:ascii="仿宋_GB2312" w:hAnsi="TimesNewRomanPSMT" w:eastAsia="仿宋_GB2312"/>
          <w:color w:val="000000"/>
          <w:sz w:val="32"/>
          <w:szCs w:val="32"/>
          <w:lang w:val="en-US" w:eastAsia="zh-CN"/>
        </w:rPr>
        <w:t>311.3</w:t>
      </w:r>
      <w:r>
        <w:rPr>
          <w:rFonts w:hint="eastAsia" w:ascii="仿宋_GB2312" w:eastAsia="仿宋_GB2312"/>
          <w:color w:val="000000"/>
          <w:sz w:val="32"/>
          <w:szCs w:val="32"/>
        </w:rPr>
        <w:t xml:space="preserve">万元， 比 </w:t>
      </w:r>
      <w:r>
        <w:rPr>
          <w:rFonts w:hint="eastAsia" w:ascii="仿宋_GB2312" w:hAnsi="TimesNewRomanPSMT" w:eastAsia="仿宋_GB2312"/>
          <w:color w:val="000000"/>
          <w:sz w:val="32"/>
          <w:szCs w:val="32"/>
        </w:rPr>
        <w:t xml:space="preserve">2023 </w:t>
      </w:r>
      <w:r>
        <w:rPr>
          <w:rFonts w:hint="eastAsia" w:ascii="仿宋_GB2312" w:eastAsia="仿宋_GB2312"/>
          <w:color w:val="000000"/>
          <w:sz w:val="32"/>
          <w:szCs w:val="32"/>
        </w:rPr>
        <w:t>年预算</w:t>
      </w:r>
      <w:r>
        <w:rPr>
          <w:rFonts w:hint="eastAsia" w:ascii="仿宋_GB2312" w:eastAsia="仿宋_GB2312"/>
          <w:color w:val="000000"/>
          <w:sz w:val="32"/>
          <w:szCs w:val="32"/>
          <w:lang w:val="en-US" w:eastAsia="zh-CN"/>
        </w:rPr>
        <w:t>减少</w:t>
      </w:r>
      <w:r>
        <w:rPr>
          <w:rFonts w:hint="eastAsia" w:ascii="仿宋_GB2312" w:eastAsia="仿宋_GB2312"/>
          <w:color w:val="000000"/>
          <w:sz w:val="32"/>
          <w:szCs w:val="32"/>
        </w:rPr>
        <w:t xml:space="preserve"> </w:t>
      </w:r>
      <w:r>
        <w:rPr>
          <w:rFonts w:hint="eastAsia" w:ascii="仿宋_GB2312" w:hAnsi="TimesNewRomanPSMT" w:eastAsia="仿宋_GB2312"/>
          <w:color w:val="000000"/>
          <w:sz w:val="32"/>
          <w:szCs w:val="32"/>
        </w:rPr>
        <w:t xml:space="preserve">  </w:t>
      </w:r>
      <w:r>
        <w:rPr>
          <w:rFonts w:hint="eastAsia" w:ascii="仿宋_GB2312" w:hAnsi="TimesNewRomanPSMT" w:eastAsia="仿宋_GB2312"/>
          <w:color w:val="000000"/>
          <w:sz w:val="32"/>
          <w:szCs w:val="32"/>
          <w:lang w:val="en-US" w:eastAsia="zh-CN"/>
        </w:rPr>
        <w:t>168.7</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本年度与上年度科目有调整。</w:t>
      </w:r>
    </w:p>
    <w:p>
      <w:pPr>
        <w:widowControl/>
        <w:adjustRightInd w:val="0"/>
        <w:snapToGrid w:val="0"/>
        <w:spacing w:line="640" w:lineRule="exact"/>
        <w:ind w:firstLine="640" w:firstLineChars="200"/>
        <w:contextualSpacing/>
        <w:jc w:val="left"/>
        <w:rPr>
          <w:rFonts w:ascii="仿宋_GB2312" w:eastAsia="仿宋_GB2312"/>
          <w:color w:val="000000"/>
          <w:sz w:val="32"/>
          <w:szCs w:val="32"/>
        </w:rPr>
      </w:pPr>
      <w:r>
        <w:rPr>
          <w:rFonts w:hint="eastAsia" w:ascii="仿宋_GB2312" w:eastAsia="仿宋_GB2312"/>
          <w:color w:val="000000"/>
          <w:sz w:val="32"/>
          <w:szCs w:val="32"/>
        </w:rPr>
        <w:t xml:space="preserve">2.一般公共服务（ 类） </w:t>
      </w:r>
      <w:r>
        <w:rPr>
          <w:rFonts w:hint="eastAsia" w:ascii="仿宋_GB2312" w:eastAsia="仿宋_GB2312"/>
          <w:color w:val="000000"/>
          <w:sz w:val="32"/>
          <w:szCs w:val="32"/>
          <w:lang w:val="en-US" w:eastAsia="zh-CN"/>
        </w:rPr>
        <w:t>政府办公厅及相关事务支出</w:t>
      </w:r>
      <w:r>
        <w:rPr>
          <w:rFonts w:hint="eastAsia" w:ascii="仿宋_GB2312" w:eastAsia="仿宋_GB2312"/>
          <w:color w:val="000000"/>
          <w:sz w:val="32"/>
          <w:szCs w:val="32"/>
        </w:rPr>
        <w:t xml:space="preserve">（ 款） </w:t>
      </w:r>
      <w:r>
        <w:rPr>
          <w:rFonts w:hint="eastAsia" w:ascii="仿宋_GB2312" w:eastAsia="仿宋_GB2312"/>
          <w:color w:val="000000"/>
          <w:sz w:val="32"/>
          <w:szCs w:val="32"/>
          <w:lang w:val="en-US" w:eastAsia="zh-CN"/>
        </w:rPr>
        <w:t>专项业务与机关事务管理</w:t>
      </w:r>
      <w:r>
        <w:rPr>
          <w:rFonts w:hint="eastAsia" w:ascii="仿宋_GB2312" w:eastAsia="仿宋_GB2312"/>
          <w:color w:val="000000"/>
          <w:sz w:val="32"/>
          <w:szCs w:val="32"/>
        </w:rPr>
        <w:t>（ 项）</w:t>
      </w:r>
      <w:r>
        <w:rPr>
          <w:rFonts w:hint="eastAsia" w:ascii="仿宋_GB2312" w:hAnsi="TimesNewRomanPSMT" w:eastAsia="仿宋_GB2312"/>
          <w:color w:val="000000"/>
          <w:sz w:val="32"/>
          <w:szCs w:val="32"/>
        </w:rPr>
        <w:t xml:space="preserve">2024 </w:t>
      </w:r>
      <w:r>
        <w:rPr>
          <w:rFonts w:hint="eastAsia" w:ascii="仿宋_GB2312" w:eastAsia="仿宋_GB2312"/>
          <w:color w:val="000000"/>
          <w:sz w:val="32"/>
          <w:szCs w:val="32"/>
        </w:rPr>
        <w:t>年预算数为</w:t>
      </w:r>
      <w:r>
        <w:rPr>
          <w:rFonts w:hint="eastAsia" w:ascii="仿宋_GB2312" w:hAnsi="TimesNewRomanPSMT" w:eastAsia="仿宋_GB2312"/>
          <w:color w:val="000000"/>
          <w:sz w:val="32"/>
          <w:szCs w:val="32"/>
          <w:lang w:val="en-US" w:eastAsia="zh-CN"/>
        </w:rPr>
        <w:t>624</w:t>
      </w:r>
      <w:r>
        <w:rPr>
          <w:rFonts w:hint="eastAsia" w:ascii="仿宋_GB2312" w:eastAsia="仿宋_GB2312"/>
          <w:color w:val="000000"/>
          <w:sz w:val="32"/>
          <w:szCs w:val="32"/>
        </w:rPr>
        <w:t xml:space="preserve">万元， 比 </w:t>
      </w:r>
      <w:r>
        <w:rPr>
          <w:rFonts w:hint="eastAsia" w:ascii="仿宋_GB2312" w:hAnsi="TimesNewRomanPSMT" w:eastAsia="仿宋_GB2312"/>
          <w:color w:val="000000"/>
          <w:sz w:val="32"/>
          <w:szCs w:val="32"/>
        </w:rPr>
        <w:t xml:space="preserve">2023 </w:t>
      </w:r>
      <w:r>
        <w:rPr>
          <w:rFonts w:hint="eastAsia" w:ascii="仿宋_GB2312" w:eastAsia="仿宋_GB2312"/>
          <w:color w:val="000000"/>
          <w:sz w:val="32"/>
          <w:szCs w:val="32"/>
        </w:rPr>
        <w:t>年预算</w:t>
      </w:r>
      <w:r>
        <w:rPr>
          <w:rFonts w:hint="eastAsia" w:ascii="仿宋_GB2312" w:eastAsia="仿宋_GB2312"/>
          <w:color w:val="000000"/>
          <w:sz w:val="32"/>
          <w:szCs w:val="32"/>
          <w:lang w:val="en-US" w:eastAsia="zh-CN"/>
        </w:rPr>
        <w:t>增加163</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本年度有公车购置费预算。</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五、部门（单位）一般公共预算财政拨款“三公”经费、培训费、会议费等情况</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（一）“三公”经费情况说明</w:t>
      </w:r>
    </w:p>
    <w:p>
      <w:pPr>
        <w:adjustRightInd w:val="0"/>
        <w:snapToGrid w:val="0"/>
        <w:spacing w:line="640" w:lineRule="exact"/>
        <w:ind w:firstLine="640" w:firstLineChars="200"/>
        <w:contextualSpacing/>
        <w:rPr>
          <w:rFonts w:ascii="仿宋_GB2312" w:hAnsi="仿宋" w:eastAsia="仿宋_GB2312" w:cs="宋体"/>
          <w:b/>
          <w:kern w:val="0"/>
          <w:sz w:val="32"/>
          <w:szCs w:val="32"/>
        </w:rPr>
      </w:pPr>
      <w:r>
        <w:rPr>
          <w:rFonts w:hint="eastAsia" w:ascii="仿宋_GB2312" w:hAnsi="仿宋" w:eastAsia="仿宋_GB2312"/>
          <w:sz w:val="32"/>
          <w:szCs w:val="32"/>
        </w:rPr>
        <w:t>“三公”经费预算</w:t>
      </w:r>
      <w:r>
        <w:rPr>
          <w:rFonts w:hint="eastAsia" w:ascii="仿宋_GB2312" w:hAnsi="仿宋" w:eastAsia="仿宋_GB2312"/>
          <w:sz w:val="32"/>
          <w:szCs w:val="32"/>
          <w:lang w:val="en-US" w:eastAsia="zh-CN"/>
        </w:rPr>
        <w:t>864</w:t>
      </w:r>
      <w:r>
        <w:rPr>
          <w:rFonts w:hint="eastAsia" w:ascii="仿宋_GB2312" w:hAnsi="仿宋" w:eastAsia="仿宋_GB2312"/>
          <w:sz w:val="32"/>
          <w:szCs w:val="32"/>
        </w:rPr>
        <w:t>万元，较2023年预算增加</w:t>
      </w:r>
      <w:r>
        <w:rPr>
          <w:rFonts w:hint="eastAsia" w:ascii="仿宋_GB2312" w:hAnsi="仿宋" w:eastAsia="仿宋_GB2312"/>
          <w:sz w:val="32"/>
          <w:szCs w:val="32"/>
          <w:lang w:val="en-US" w:eastAsia="zh-CN"/>
        </w:rPr>
        <w:t>151</w:t>
      </w:r>
      <w:r>
        <w:rPr>
          <w:rFonts w:hint="eastAsia" w:ascii="仿宋_GB2312" w:hAnsi="仿宋" w:eastAsia="仿宋_GB2312"/>
          <w:sz w:val="32"/>
          <w:szCs w:val="32"/>
        </w:rPr>
        <w:t>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1.因公出国（境）费用</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2.公务接待费</w:t>
      </w:r>
      <w:r>
        <w:rPr>
          <w:rFonts w:hint="eastAsia" w:ascii="仿宋_GB2312" w:hAnsi="仿宋" w:eastAsia="仿宋_GB2312"/>
          <w:sz w:val="32"/>
          <w:szCs w:val="32"/>
          <w:lang w:val="en-US" w:eastAsia="zh-CN"/>
        </w:rPr>
        <w:t>240</w:t>
      </w:r>
      <w:r>
        <w:rPr>
          <w:rFonts w:hint="eastAsia" w:ascii="仿宋_GB2312" w:hAnsi="仿宋" w:eastAsia="仿宋_GB2312"/>
          <w:sz w:val="32"/>
          <w:szCs w:val="32"/>
        </w:rPr>
        <w:t>万元，较2023年预算增加（减少）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与上年相比无变化</w:t>
      </w:r>
      <w:r>
        <w:rPr>
          <w:rFonts w:hint="eastAsia" w:ascii="仿宋_GB2312" w:hAnsi="仿宋" w:eastAsia="仿宋_GB2312"/>
          <w:sz w:val="32"/>
          <w:szCs w:val="32"/>
        </w:rPr>
        <w:t>。</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3.公务用车购置及运行维护费</w:t>
      </w:r>
      <w:r>
        <w:rPr>
          <w:rFonts w:hint="eastAsia" w:ascii="仿宋_GB2312" w:hAnsi="仿宋" w:eastAsia="仿宋_GB2312"/>
          <w:sz w:val="32"/>
          <w:szCs w:val="32"/>
          <w:lang w:val="en-US" w:eastAsia="zh-CN"/>
        </w:rPr>
        <w:t>624</w:t>
      </w:r>
      <w:r>
        <w:rPr>
          <w:rFonts w:hint="eastAsia" w:ascii="仿宋_GB2312" w:hAnsi="仿宋" w:eastAsia="仿宋_GB2312"/>
          <w:sz w:val="32"/>
          <w:szCs w:val="32"/>
        </w:rPr>
        <w:t xml:space="preserve">万元（其中：公务用车购置    </w:t>
      </w:r>
      <w:r>
        <w:rPr>
          <w:rFonts w:hint="eastAsia" w:ascii="仿宋_GB2312" w:hAnsi="仿宋" w:eastAsia="仿宋_GB2312"/>
          <w:sz w:val="32"/>
          <w:szCs w:val="32"/>
          <w:lang w:val="en-US" w:eastAsia="zh-CN"/>
        </w:rPr>
        <w:t>144</w:t>
      </w:r>
      <w:r>
        <w:rPr>
          <w:rFonts w:hint="eastAsia" w:ascii="仿宋_GB2312" w:hAnsi="仿宋" w:eastAsia="仿宋_GB2312"/>
          <w:sz w:val="32"/>
          <w:szCs w:val="32"/>
        </w:rPr>
        <w:t>万元，公务用车运行维护费</w:t>
      </w:r>
      <w:r>
        <w:rPr>
          <w:rFonts w:hint="eastAsia" w:ascii="仿宋_GB2312" w:hAnsi="仿宋" w:eastAsia="仿宋_GB2312"/>
          <w:sz w:val="32"/>
          <w:szCs w:val="32"/>
          <w:lang w:val="en-US" w:eastAsia="zh-CN"/>
        </w:rPr>
        <w:t>480</w:t>
      </w:r>
      <w:r>
        <w:rPr>
          <w:rFonts w:hint="eastAsia" w:ascii="仿宋_GB2312" w:hAnsi="仿宋" w:eastAsia="仿宋_GB2312"/>
          <w:sz w:val="32"/>
          <w:szCs w:val="32"/>
        </w:rPr>
        <w:t>万元），较2023年预算增加</w:t>
      </w:r>
      <w:r>
        <w:rPr>
          <w:rFonts w:hint="eastAsia" w:ascii="仿宋_GB2312" w:hAnsi="仿宋" w:eastAsia="仿宋_GB2312"/>
          <w:sz w:val="32"/>
          <w:szCs w:val="32"/>
          <w:lang w:val="en-US" w:eastAsia="zh-CN"/>
        </w:rPr>
        <w:t>144</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30</w:t>
      </w:r>
      <w:r>
        <w:rPr>
          <w:rFonts w:hint="eastAsia" w:ascii="仿宋_GB2312" w:hAnsi="仿宋" w:eastAsia="仿宋_GB2312"/>
          <w:sz w:val="32"/>
          <w:szCs w:val="32"/>
        </w:rPr>
        <w:t>%，增长的主要原因是</w:t>
      </w:r>
      <w:r>
        <w:rPr>
          <w:rFonts w:hint="eastAsia" w:ascii="仿宋_GB2312" w:hAnsi="仿宋" w:eastAsia="仿宋_GB2312"/>
          <w:sz w:val="32"/>
          <w:szCs w:val="32"/>
          <w:lang w:val="en-US" w:eastAsia="zh-CN"/>
        </w:rPr>
        <w:t>本年度有公车购置费预算</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（二）培训费预算情况说明</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4.培训费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万元，较2023年预算增加</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0</w:t>
      </w:r>
      <w:r>
        <w:rPr>
          <w:rFonts w:hint="eastAsia" w:ascii="仿宋_GB2312" w:hAnsi="仿宋" w:eastAsia="仿宋_GB2312"/>
          <w:sz w:val="32"/>
          <w:szCs w:val="32"/>
        </w:rPr>
        <w:t>%，增长。</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（三）会议费预算情况说明</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5.会议费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万元，较2023年预算增加</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w:t>
      </w:r>
    </w:p>
    <w:p>
      <w:pPr>
        <w:widowControl/>
        <w:spacing w:line="640" w:lineRule="exact"/>
        <w:ind w:firstLine="640" w:firstLineChars="200"/>
        <w:jc w:val="left"/>
        <w:rPr>
          <w:rFonts w:ascii="仿宋_GB2312" w:eastAsia="仿宋_GB2312"/>
          <w:sz w:val="32"/>
          <w:szCs w:val="32"/>
        </w:rPr>
      </w:pP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六、一般公共预算财政拨款机关运行经费情况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机关运行经费</w:t>
      </w:r>
      <w:r>
        <w:rPr>
          <w:rFonts w:hint="eastAsia" w:ascii="仿宋_GB2312" w:hAnsi="仿宋" w:eastAsia="仿宋_GB2312"/>
          <w:sz w:val="32"/>
          <w:szCs w:val="32"/>
          <w:lang w:val="en-US" w:eastAsia="zh-CN"/>
        </w:rPr>
        <w:t>498</w:t>
      </w:r>
      <w:r>
        <w:rPr>
          <w:rFonts w:hint="eastAsia" w:ascii="仿宋_GB2312" w:hAnsi="仿宋" w:eastAsia="仿宋_GB2312"/>
          <w:sz w:val="32"/>
          <w:szCs w:val="32"/>
        </w:rPr>
        <w:t>万元，较2023年预算</w:t>
      </w:r>
      <w:r>
        <w:rPr>
          <w:rFonts w:hint="eastAsia" w:ascii="仿宋_GB2312" w:hAnsi="仿宋" w:eastAsia="仿宋_GB2312"/>
          <w:sz w:val="32"/>
          <w:szCs w:val="32"/>
          <w:lang w:val="en-US" w:eastAsia="zh-CN"/>
        </w:rPr>
        <w:t>826万元</w:t>
      </w:r>
      <w:r>
        <w:rPr>
          <w:rFonts w:hint="eastAsia" w:ascii="仿宋_GB2312" w:hAnsi="仿宋" w:eastAsia="仿宋_GB2312"/>
          <w:sz w:val="32"/>
          <w:szCs w:val="32"/>
        </w:rPr>
        <w:t>减少</w:t>
      </w:r>
      <w:r>
        <w:rPr>
          <w:rFonts w:hint="eastAsia" w:ascii="仿宋_GB2312" w:hAnsi="仿宋" w:eastAsia="仿宋_GB2312"/>
          <w:sz w:val="32"/>
          <w:szCs w:val="32"/>
          <w:lang w:val="en-US" w:eastAsia="zh-CN"/>
        </w:rPr>
        <w:t>328</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39.71</w:t>
      </w:r>
      <w:r>
        <w:rPr>
          <w:rFonts w:hint="eastAsia" w:ascii="仿宋_GB2312" w:hAnsi="仿宋" w:eastAsia="仿宋_GB2312"/>
          <w:sz w:val="32"/>
          <w:szCs w:val="32"/>
        </w:rPr>
        <w:t>%，下降的主要原因是</w:t>
      </w:r>
      <w:r>
        <w:rPr>
          <w:rFonts w:hint="eastAsia" w:ascii="仿宋_GB2312" w:hAnsi="仿宋" w:eastAsia="仿宋_GB2312"/>
          <w:sz w:val="32"/>
          <w:szCs w:val="32"/>
          <w:lang w:val="en-US" w:eastAsia="zh-CN"/>
        </w:rPr>
        <w:t>本年度后勤服务费未列入机关运行经费</w:t>
      </w:r>
      <w:r>
        <w:rPr>
          <w:rFonts w:hint="eastAsia" w:ascii="仿宋_GB2312" w:hAnsi="仿宋" w:eastAsia="仿宋_GB2312"/>
          <w:sz w:val="32"/>
          <w:szCs w:val="32"/>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七、政府采购安排情况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2024年，部门（单位）政府采购预算总额</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万元，其中：政府采购货物预算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万元，政府采购工程预算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万元，政府采购服务预算    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2024年，部门（单位）面向中小企业预留政府采购项目预算金额  万元，小微企业预留政府采购项目预算金额</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八、国有资产占用情况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上年末固定资产金额为     万元。其中：办公用房     平方米，价值     万元。预算部门（单位）共有公务用车     辆，价值     万元。单价20万元以上的设备价值     万元。2024年拟采购固定资产约     万元。</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九、其他重要事项情况说明</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（一）政府性基金预算支出情况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2024年使用政府性基金预算拨款安排支出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widowControl/>
        <w:adjustRightInd w:val="0"/>
        <w:snapToGrid w:val="0"/>
        <w:spacing w:line="640" w:lineRule="exact"/>
        <w:ind w:firstLine="640" w:firstLineChars="200"/>
        <w:contextualSpacing/>
        <w:jc w:val="left"/>
        <w:rPr>
          <w:rFonts w:ascii="仿宋_GB2312" w:eastAsia="仿宋_GB2312"/>
          <w:color w:val="000000"/>
          <w:sz w:val="32"/>
          <w:szCs w:val="32"/>
        </w:rPr>
      </w:pPr>
      <w:r>
        <w:rPr>
          <w:rFonts w:hint="eastAsia" w:ascii="仿宋_GB2312" w:hAnsi="仿宋" w:eastAsia="仿宋_GB2312"/>
          <w:sz w:val="32"/>
          <w:szCs w:val="32"/>
        </w:rPr>
        <w:t>1．交通运输支出（ 类） 民航发展基金支出（ 款） 民航安全（ 项）2024 年预算数为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 年预算减少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说明:如果2024年未安排政府性基金预算支出，请写成“未安排预算，政府性基金预算支出情况表为空表。”</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（二）非税收入情况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2024年本部门/单位涉及非税收入，2024年计划征收</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万元。其中：中央（省级）批准设立</w:t>
      </w:r>
      <w:r>
        <w:rPr>
          <w:rFonts w:hint="eastAsia" w:ascii="仿宋_GB2312" w:hAnsi="仿宋" w:eastAsia="仿宋_GB2312"/>
          <w:sz w:val="32"/>
          <w:szCs w:val="32"/>
          <w:lang w:val="en-US" w:eastAsia="zh-CN"/>
        </w:rPr>
        <w:t>0</w:t>
      </w:r>
      <w:r>
        <w:rPr>
          <w:rFonts w:hint="eastAsia" w:ascii="仿宋_GB2312" w:hAnsi="仿宋" w:eastAsia="仿宋_GB2312"/>
          <w:sz w:val="32"/>
          <w:szCs w:val="32"/>
        </w:rPr>
        <w:t>个。</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说明：如果2024年无非税收入，请写成“本部门/单位2024年</w:t>
      </w:r>
      <w:r>
        <w:rPr>
          <w:rFonts w:ascii="仿宋_GB2312" w:hAnsi="仿宋" w:eastAsia="仿宋_GB2312"/>
          <w:sz w:val="32"/>
          <w:szCs w:val="32"/>
        </w:rPr>
        <w:t>无非税收入</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（三）重点项目情况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本部门/单位年初预算未安排项目支出，无重点项目说明。</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w:t>
      </w:r>
      <w:r>
        <w:rPr>
          <w:rFonts w:hint="eastAsia" w:ascii="楷体_GB2312" w:hAnsi="楷体" w:eastAsia="楷体_GB2312" w:cs="宋体"/>
          <w:b/>
          <w:bCs/>
          <w:kern w:val="0"/>
          <w:sz w:val="32"/>
          <w:szCs w:val="32"/>
          <w:lang w:val="en-US" w:eastAsia="zh-CN"/>
        </w:rPr>
        <w:t>四</w:t>
      </w:r>
      <w:r>
        <w:rPr>
          <w:rFonts w:hint="eastAsia" w:ascii="楷体_GB2312" w:hAnsi="楷体" w:eastAsia="楷体_GB2312" w:cs="宋体"/>
          <w:b/>
          <w:bCs/>
          <w:kern w:val="0"/>
          <w:sz w:val="32"/>
          <w:szCs w:val="32"/>
        </w:rPr>
        <w:t>）国有资本经营预算支出情况</w:t>
      </w:r>
    </w:p>
    <w:p>
      <w:pPr>
        <w:widowControl/>
        <w:adjustRightInd w:val="0"/>
        <w:snapToGrid w:val="0"/>
        <w:spacing w:line="640" w:lineRule="exact"/>
        <w:ind w:firstLine="640" w:firstLineChars="200"/>
        <w:contextualSpacing/>
        <w:jc w:val="left"/>
        <w:rPr>
          <w:rFonts w:ascii="仿宋_GB2312" w:hAnsi="楷体" w:eastAsia="仿宋_GB2312"/>
          <w:sz w:val="32"/>
          <w:szCs w:val="32"/>
        </w:rPr>
      </w:pPr>
      <w:r>
        <w:rPr>
          <w:rFonts w:hint="eastAsia" w:ascii="仿宋_GB2312" w:hAnsi="楷体" w:eastAsia="仿宋_GB2312"/>
          <w:sz w:val="32"/>
          <w:szCs w:val="32"/>
        </w:rPr>
        <w:t>未安排预算，国有资本经营预算支出情况表为空表。</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十、预算绩效管理情况</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（一）2023年预算绩效管理工作情况。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按照《中共中央 国务院关于全面实施预算绩效管理的意见》《中共甘肃省委 甘肃省人民政府关于全面实施预算绩效管理的实施意见》等相关要求，我们将绩效理念和方法融入预算编制、执行、决算和监督全过程认真开展各项工作。</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1.绩效目标管理情况。</w:t>
      </w:r>
      <w:r>
        <w:rPr>
          <w:rFonts w:hint="eastAsia" w:ascii="仿宋_GB2312" w:hAnsi="仿宋" w:eastAsia="仿宋_GB2312"/>
          <w:sz w:val="32"/>
          <w:szCs w:val="32"/>
        </w:rPr>
        <w:t>2023年度，按照“谁申请资金，谁设置目标”的原则，纳入部门预算管理的</w:t>
      </w:r>
      <w:r>
        <w:rPr>
          <w:rFonts w:hint="eastAsia" w:ascii="仿宋_GB2312" w:hAnsi="CIDFont+F6" w:eastAsia="仿宋_GB2312"/>
          <w:color w:val="000000"/>
          <w:sz w:val="32"/>
          <w:szCs w:val="32"/>
        </w:rPr>
        <w:t>部门/单位</w:t>
      </w:r>
      <w:r>
        <w:rPr>
          <w:rFonts w:hint="eastAsia" w:ascii="仿宋_GB2312" w:hAnsi="仿宋" w:eastAsia="仿宋_GB2312"/>
          <w:sz w:val="32"/>
          <w:szCs w:val="32"/>
        </w:rPr>
        <w:t>整体支出和项目绩效目标   个，按规定随年度预算一并公开项目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个，公开率为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 xml:space="preserve"> %。</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2.绩效运行监控情况。</w:t>
      </w:r>
      <w:r>
        <w:rPr>
          <w:rFonts w:hint="eastAsia" w:ascii="仿宋_GB2312" w:hAnsi="仿宋" w:eastAsia="仿宋_GB2312"/>
          <w:sz w:val="32"/>
          <w:szCs w:val="32"/>
        </w:rPr>
        <w:t>2023年7月，组织开展1-6月绩效运行监控项目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个，占本</w:t>
      </w:r>
      <w:r>
        <w:rPr>
          <w:rFonts w:hint="eastAsia" w:ascii="仿宋_GB2312" w:hAnsi="CIDFont+F6" w:eastAsia="仿宋_GB2312"/>
          <w:color w:val="000000"/>
          <w:sz w:val="32"/>
          <w:szCs w:val="32"/>
        </w:rPr>
        <w:t>部门/单位</w:t>
      </w:r>
      <w:r>
        <w:rPr>
          <w:rFonts w:hint="eastAsia" w:ascii="仿宋_GB2312" w:hAnsi="仿宋" w:eastAsia="仿宋_GB2312"/>
          <w:sz w:val="32"/>
          <w:szCs w:val="32"/>
        </w:rPr>
        <w:t>项目的</w:t>
      </w:r>
      <w:r>
        <w:rPr>
          <w:rFonts w:hint="eastAsia" w:ascii="仿宋_GB2312" w:hAnsi="仿宋" w:eastAsia="仿宋_GB2312"/>
          <w:sz w:val="32"/>
          <w:szCs w:val="32"/>
          <w:lang w:val="en-US" w:eastAsia="zh-CN"/>
        </w:rPr>
        <w:t>100</w:t>
      </w:r>
      <w:r>
        <w:rPr>
          <w:rFonts w:hint="eastAsia" w:ascii="仿宋_GB2312" w:hAnsi="仿宋" w:eastAsia="仿宋_GB2312"/>
          <w:sz w:val="32"/>
          <w:szCs w:val="32"/>
        </w:rPr>
        <w:t>%。截至7月底，如期完成预算执行和绩效目标指标值的项目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个，完成率为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%。“双监控”发现存在的问题和主要原因是：</w:t>
      </w:r>
      <w:r>
        <w:rPr>
          <w:rFonts w:hint="eastAsia" w:ascii="仿宋_GB2312" w:hAnsi="仿宋" w:eastAsia="仿宋_GB2312"/>
          <w:sz w:val="32"/>
          <w:szCs w:val="32"/>
          <w:lang w:val="en-US" w:eastAsia="zh-CN"/>
        </w:rPr>
        <w:t>绩效评价不够完善</w:t>
      </w:r>
      <w:r>
        <w:rPr>
          <w:rFonts w:hint="eastAsia" w:ascii="仿宋_GB2312" w:hAnsi="仿宋" w:eastAsia="仿宋_GB2312"/>
          <w:sz w:val="32"/>
          <w:szCs w:val="32"/>
        </w:rPr>
        <w:t>(需自行完善编辑)。开展1-9月绩效运行监控项目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个，占本部门（单位）项目的 </w:t>
      </w:r>
      <w:r>
        <w:rPr>
          <w:rFonts w:hint="eastAsia" w:ascii="仿宋_GB2312" w:hAnsi="仿宋" w:eastAsia="仿宋_GB2312"/>
          <w:sz w:val="32"/>
          <w:szCs w:val="32"/>
          <w:lang w:val="en-US" w:eastAsia="zh-CN"/>
        </w:rPr>
        <w:t>100</w:t>
      </w:r>
      <w:r>
        <w:rPr>
          <w:rFonts w:hint="eastAsia" w:ascii="仿宋_GB2312" w:hAnsi="仿宋" w:eastAsia="仿宋_GB2312"/>
          <w:sz w:val="32"/>
          <w:szCs w:val="32"/>
        </w:rPr>
        <w:t xml:space="preserve">%。截至10月底，如期完成预算执行和绩效目标指标值的项目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个，完成率为 </w:t>
      </w:r>
      <w:r>
        <w:rPr>
          <w:rFonts w:hint="eastAsia" w:ascii="仿宋_GB2312" w:hAnsi="仿宋" w:eastAsia="仿宋_GB2312"/>
          <w:sz w:val="32"/>
          <w:szCs w:val="32"/>
          <w:lang w:val="en-US" w:eastAsia="zh-CN"/>
        </w:rPr>
        <w:t>100</w:t>
      </w:r>
      <w:r>
        <w:rPr>
          <w:rFonts w:hint="eastAsia" w:ascii="仿宋_GB2312" w:hAnsi="仿宋" w:eastAsia="仿宋_GB2312"/>
          <w:sz w:val="32"/>
          <w:szCs w:val="32"/>
        </w:rPr>
        <w:t xml:space="preserve"> %。。</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3.绩效自评开展情况。</w:t>
      </w:r>
      <w:r>
        <w:rPr>
          <w:rFonts w:hint="eastAsia" w:ascii="仿宋_GB2312" w:hAnsi="仿宋" w:eastAsia="仿宋_GB2312"/>
          <w:sz w:val="32"/>
          <w:szCs w:val="32"/>
        </w:rPr>
        <w:t>2023年度，组织开展绩效自评项目共</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个，其中，部门（单位）整体支出</w:t>
      </w:r>
      <w:r>
        <w:rPr>
          <w:rFonts w:hint="eastAsia" w:ascii="仿宋_GB2312" w:hAnsi="仿宋" w:eastAsia="仿宋_GB2312"/>
          <w:sz w:val="32"/>
          <w:szCs w:val="32"/>
          <w:lang w:val="en-US" w:eastAsia="zh-CN"/>
        </w:rPr>
        <w:t>1</w:t>
      </w:r>
      <w:r>
        <w:rPr>
          <w:rFonts w:hint="eastAsia" w:ascii="仿宋_GB2312" w:hAnsi="仿宋" w:eastAsia="仿宋_GB2312"/>
          <w:sz w:val="32"/>
          <w:szCs w:val="32"/>
        </w:rPr>
        <w:t>个，项目支出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个，转移支付项目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个，绩效自评覆盖率为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4.绩效结果应用情况。</w:t>
      </w:r>
      <w:r>
        <w:rPr>
          <w:rFonts w:hint="eastAsia" w:ascii="仿宋_GB2312" w:hAnsi="仿宋" w:eastAsia="仿宋_GB2312"/>
          <w:sz w:val="32"/>
          <w:szCs w:val="32"/>
        </w:rPr>
        <w:t>根据2023年度绩效运行监控、绩效自评等情况，当年盘活财政资金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万元，2024年度增加（减少）部门预算项目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个，增长率/压减率</w:t>
      </w:r>
      <w:r>
        <w:rPr>
          <w:rFonts w:hint="eastAsia" w:ascii="仿宋_GB2312" w:hAnsi="仿宋" w:eastAsia="仿宋_GB2312"/>
          <w:sz w:val="32"/>
          <w:szCs w:val="32"/>
          <w:lang w:val="en-US" w:eastAsia="zh-CN"/>
        </w:rPr>
        <w:t>0</w:t>
      </w:r>
      <w:r>
        <w:rPr>
          <w:rFonts w:hint="eastAsia" w:ascii="仿宋_GB2312" w:hAnsi="仿宋" w:eastAsia="仿宋_GB2312"/>
          <w:sz w:val="32"/>
          <w:szCs w:val="32"/>
        </w:rPr>
        <w:t>%。同时对政策和项目资金管理作出调整的   个。</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（二）2024年绩效目标编制情况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2024年，纳入部门/单位预算绩效目标管理的项目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个。其中，部门整体支出绩效目标围绕部门管理、履职效果、能力建设三个维度，设置二级指标</w:t>
      </w:r>
      <w:r>
        <w:rPr>
          <w:rFonts w:hint="eastAsia" w:ascii="仿宋_GB2312" w:hAnsi="仿宋" w:eastAsia="仿宋_GB2312"/>
          <w:sz w:val="32"/>
          <w:szCs w:val="32"/>
          <w:lang w:val="en-US" w:eastAsia="zh-CN"/>
        </w:rPr>
        <w:t>0</w:t>
      </w:r>
      <w:r>
        <w:rPr>
          <w:rFonts w:hint="eastAsia" w:ascii="仿宋_GB2312" w:hAnsi="仿宋" w:eastAsia="仿宋_GB2312"/>
          <w:sz w:val="32"/>
          <w:szCs w:val="32"/>
        </w:rPr>
        <w:t>个、三级指标</w:t>
      </w:r>
      <w:r>
        <w:rPr>
          <w:rFonts w:hint="eastAsia" w:ascii="仿宋_GB2312" w:hAnsi="仿宋" w:eastAsia="仿宋_GB2312"/>
          <w:sz w:val="32"/>
          <w:szCs w:val="32"/>
          <w:lang w:val="en-US" w:eastAsia="zh-CN"/>
        </w:rPr>
        <w:t>0</w:t>
      </w:r>
      <w:r>
        <w:rPr>
          <w:rFonts w:hint="eastAsia" w:ascii="仿宋_GB2312" w:hAnsi="仿宋" w:eastAsia="仿宋_GB2312"/>
          <w:sz w:val="32"/>
          <w:szCs w:val="32"/>
        </w:rPr>
        <w:t>个；项目支出绩效目标围绕成本指标、产出指标、效益指标、满意度指标四个维度，设置二级指标</w:t>
      </w:r>
      <w:r>
        <w:rPr>
          <w:rFonts w:hint="eastAsia" w:ascii="仿宋_GB2312" w:hAnsi="仿宋" w:eastAsia="仿宋_GB2312"/>
          <w:sz w:val="32"/>
          <w:szCs w:val="32"/>
          <w:lang w:val="en-US" w:eastAsia="zh-CN"/>
        </w:rPr>
        <w:t>1</w:t>
      </w:r>
      <w:r>
        <w:rPr>
          <w:rFonts w:hint="eastAsia" w:ascii="仿宋_GB2312" w:hAnsi="仿宋" w:eastAsia="仿宋_GB2312"/>
          <w:sz w:val="32"/>
          <w:szCs w:val="32"/>
        </w:rPr>
        <w:t>个、三级指标</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个。各项绩效目标内容指向明确、细化量化、合理可行，符合规定的格式要求。</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十一、名词解释</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1、财政拨款:</w:t>
      </w:r>
      <w:r>
        <w:rPr>
          <w:rFonts w:hint="eastAsia" w:ascii="仿宋_GB2312" w:hAnsi="CIDFont+F6" w:eastAsia="仿宋_GB2312"/>
          <w:color w:val="000000"/>
          <w:sz w:val="32"/>
          <w:szCs w:val="32"/>
        </w:rPr>
        <w:t>指由一般公共预算、政府性基金预算、国有资本经营预算安排的财政拨款数。</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2、一般公共预算:</w:t>
      </w:r>
      <w:r>
        <w:rPr>
          <w:rFonts w:hint="eastAsia" w:ascii="仿宋_GB2312" w:hAnsi="CIDFont+F6" w:eastAsia="仿宋_GB2312"/>
          <w:color w:val="000000"/>
          <w:sz w:val="32"/>
          <w:szCs w:val="32"/>
        </w:rPr>
        <w:t>包括公共财政拨款（补助）资金、专项收入。</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3、财政专户管理资金:</w:t>
      </w:r>
      <w:r>
        <w:rPr>
          <w:rFonts w:hint="eastAsia" w:ascii="仿宋_GB2312" w:hAnsi="CIDFont+F6" w:eastAsia="仿宋_GB2312"/>
          <w:color w:val="000000"/>
          <w:sz w:val="32"/>
          <w:szCs w:val="32"/>
        </w:rPr>
        <w:t>包括专户管理行政事业性收费（主要是教育收费）、其他非税收入。</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4、其他资金:</w:t>
      </w:r>
      <w:r>
        <w:rPr>
          <w:rFonts w:hint="eastAsia" w:ascii="仿宋_GB2312" w:hAnsi="CIDFont+F6" w:eastAsia="仿宋_GB2312"/>
          <w:color w:val="000000"/>
          <w:sz w:val="32"/>
          <w:szCs w:val="32"/>
        </w:rPr>
        <w:t>包括事业收入、事业经营收入、其他收入等。</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5、基本支出:</w:t>
      </w:r>
      <w:r>
        <w:rPr>
          <w:rFonts w:hint="eastAsia" w:ascii="仿宋_GB2312" w:hAnsi="CIDFont+F6" w:eastAsia="仿宋_GB2312"/>
          <w:color w:val="000000"/>
          <w:sz w:val="32"/>
          <w:szCs w:val="32"/>
        </w:rPr>
        <w:t>包括人员经费、公用经费（定额）。其中，人员经费包括工资福利支出、对个人和家庭的补助。</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6、项目支出:</w:t>
      </w:r>
      <w:r>
        <w:rPr>
          <w:rFonts w:hint="eastAsia" w:ascii="仿宋_GB2312" w:hAnsi="CIDFont+F6" w:eastAsia="仿宋_GB2312"/>
          <w:color w:val="000000"/>
          <w:sz w:val="32"/>
          <w:szCs w:val="32"/>
        </w:rPr>
        <w:t>部门（单位）支出预算的组成部分，是各部门（单位）为完成其特定的行政任务或事业发展目标，在基本支出预算之外编制的年度项目支出计划。</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7、“三公”经费:</w:t>
      </w:r>
      <w:r>
        <w:rPr>
          <w:rFonts w:hint="eastAsia" w:ascii="仿宋_GB2312" w:hAnsi="CIDFont+F6" w:eastAsia="仿宋_GB2312"/>
          <w:color w:val="000000"/>
          <w:sz w:val="32"/>
          <w:szCs w:val="32"/>
        </w:rPr>
        <w:t>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adjustRightInd w:val="0"/>
        <w:snapToGrid w:val="0"/>
        <w:spacing w:line="640" w:lineRule="exact"/>
        <w:ind w:firstLine="643" w:firstLineChars="200"/>
        <w:contextualSpacing/>
        <w:rPr>
          <w:rFonts w:hint="eastAsia" w:ascii="仿宋_GB2312" w:hAnsi="CIDFont+F4" w:eastAsia="仿宋_GB2312"/>
          <w:b/>
          <w:color w:val="000000"/>
          <w:sz w:val="32"/>
          <w:szCs w:val="32"/>
        </w:rPr>
      </w:pPr>
      <w:r>
        <w:rPr>
          <w:rFonts w:hint="eastAsia" w:ascii="仿宋_GB2312" w:hAnsi="CIDFont+F4" w:eastAsia="仿宋_GB2312"/>
          <w:b/>
          <w:color w:val="000000"/>
          <w:sz w:val="32"/>
          <w:szCs w:val="32"/>
        </w:rPr>
        <w:t>8、机关运行经费:</w:t>
      </w:r>
      <w:r>
        <w:rPr>
          <w:rFonts w:hint="eastAsia" w:ascii="仿宋_GB2312" w:hAnsi="CIDFont+F6" w:eastAsia="仿宋_GB2312"/>
          <w:color w:val="000000"/>
          <w:sz w:val="32"/>
          <w:szCs w:val="32"/>
        </w:rPr>
        <w:t>为保障行政单位（包括实行公务员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djustRightInd w:val="0"/>
        <w:snapToGrid w:val="0"/>
        <w:spacing w:line="640" w:lineRule="exact"/>
        <w:contextualSpacing/>
        <w:jc w:val="both"/>
        <w:rPr>
          <w:rFonts w:hint="eastAsia" w:ascii="仿宋_GB2312" w:hAnsi="CIDFont+F6" w:eastAsia="仿宋_GB2312"/>
          <w:color w:val="000000"/>
          <w:sz w:val="32"/>
          <w:szCs w:val="32"/>
        </w:rPr>
      </w:pPr>
    </w:p>
    <w:p>
      <w:pPr>
        <w:adjustRightInd w:val="0"/>
        <w:snapToGrid w:val="0"/>
        <w:spacing w:line="640" w:lineRule="exact"/>
        <w:ind w:right="1120"/>
        <w:contextualSpacing/>
        <w:jc w:val="right"/>
        <w:rPr>
          <w:rFonts w:hint="eastAsia" w:ascii="仿宋_GB2312" w:hAnsi="CIDFont+F6" w:eastAsia="仿宋_GB2312"/>
          <w:color w:val="000000"/>
          <w:sz w:val="32"/>
          <w:szCs w:val="32"/>
          <w:lang w:val="en-US" w:eastAsia="zh-CN"/>
        </w:rPr>
      </w:pPr>
      <w:r>
        <w:rPr>
          <w:rFonts w:hint="eastAsia" w:ascii="仿宋_GB2312" w:hAnsi="CIDFont+F6" w:eastAsia="仿宋_GB2312"/>
          <w:color w:val="000000"/>
          <w:sz w:val="32"/>
          <w:szCs w:val="32"/>
          <w:lang w:val="en-US" w:eastAsia="zh-CN"/>
        </w:rPr>
        <w:t>积石山政府机关服务中心</w:t>
      </w:r>
    </w:p>
    <w:p>
      <w:pPr>
        <w:adjustRightInd w:val="0"/>
        <w:snapToGrid w:val="0"/>
        <w:spacing w:line="640" w:lineRule="exact"/>
        <w:ind w:right="1120"/>
        <w:contextualSpacing/>
        <w:jc w:val="center"/>
        <w:rPr>
          <w:rFonts w:ascii="仿宋_GB2312" w:eastAsia="仿宋_GB2312"/>
          <w:sz w:val="32"/>
          <w:szCs w:val="32"/>
        </w:rPr>
      </w:pPr>
      <w:r>
        <w:rPr>
          <w:rFonts w:hint="eastAsia" w:ascii="仿宋_GB2312" w:hAnsi="CIDFont+F6" w:eastAsia="仿宋_GB2312"/>
          <w:color w:val="000000"/>
          <w:sz w:val="32"/>
          <w:szCs w:val="32"/>
          <w:lang w:val="en-US" w:eastAsia="zh-CN"/>
        </w:rPr>
        <w:t xml:space="preserve">                             2024</w:t>
      </w:r>
      <w:r>
        <w:rPr>
          <w:rFonts w:hint="eastAsia" w:ascii="仿宋_GB2312" w:hAnsi="CIDFont+F6" w:eastAsia="仿宋_GB2312"/>
          <w:color w:val="000000"/>
          <w:sz w:val="32"/>
          <w:szCs w:val="32"/>
        </w:rPr>
        <w:t>年</w:t>
      </w:r>
      <w:r>
        <w:rPr>
          <w:rFonts w:hint="eastAsia" w:ascii="仿宋_GB2312" w:hAnsi="CIDFont+F6" w:eastAsia="仿宋_GB2312"/>
          <w:color w:val="000000"/>
          <w:sz w:val="32"/>
          <w:szCs w:val="32"/>
          <w:lang w:val="en-US" w:eastAsia="zh-CN"/>
        </w:rPr>
        <w:t>3</w:t>
      </w:r>
      <w:r>
        <w:rPr>
          <w:rFonts w:hint="eastAsia" w:ascii="仿宋_GB2312" w:hAnsi="CIDFont+F6" w:eastAsia="仿宋_GB2312"/>
          <w:color w:val="000000"/>
          <w:sz w:val="32"/>
          <w:szCs w:val="32"/>
        </w:rPr>
        <w:t>月</w:t>
      </w:r>
      <w:r>
        <w:rPr>
          <w:rFonts w:hint="eastAsia" w:ascii="仿宋_GB2312" w:hAnsi="CIDFont+F6" w:eastAsia="仿宋_GB2312"/>
          <w:color w:val="000000"/>
          <w:sz w:val="32"/>
          <w:szCs w:val="32"/>
          <w:lang w:val="en-US" w:eastAsia="zh-CN"/>
        </w:rPr>
        <w:t>15</w:t>
      </w:r>
      <w:r>
        <w:rPr>
          <w:rFonts w:hint="eastAsia" w:ascii="仿宋_GB2312" w:hAnsi="CIDFont+F6" w:eastAsia="仿宋_GB2312"/>
          <w:color w:val="000000"/>
          <w:sz w:val="32"/>
          <w:szCs w:val="32"/>
        </w:rPr>
        <w:t>日</w:t>
      </w:r>
    </w:p>
    <w:p>
      <w:pPr>
        <w:adjustRightInd w:val="0"/>
        <w:snapToGrid w:val="0"/>
        <w:spacing w:line="640" w:lineRule="exact"/>
        <w:ind w:firstLine="640" w:firstLineChars="200"/>
        <w:contextualSpacing/>
        <w:rPr>
          <w:rFonts w:ascii="仿宋_GB2312" w:hAnsi="宋体" w:eastAsia="仿宋_GB2312" w:cs="宋体"/>
          <w:kern w:val="0"/>
          <w:sz w:val="32"/>
          <w:szCs w:val="32"/>
        </w:rPr>
      </w:pPr>
    </w:p>
    <w:p>
      <w:pPr>
        <w:adjustRightInd w:val="0"/>
        <w:snapToGrid w:val="0"/>
        <w:spacing w:line="640" w:lineRule="exact"/>
        <w:ind w:firstLine="640" w:firstLineChars="200"/>
        <w:contextualSpacing/>
        <w:rPr>
          <w:rFonts w:ascii="仿宋_GB2312" w:hAnsi="宋体" w:eastAsia="仿宋_GB2312" w:cs="宋体"/>
          <w:spacing w:val="-20"/>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spacing w:val="-20"/>
          <w:kern w:val="0"/>
          <w:sz w:val="32"/>
          <w:szCs w:val="32"/>
        </w:rPr>
        <w:t>1.××</w:t>
      </w:r>
      <w:r>
        <w:rPr>
          <w:rFonts w:hint="eastAsia" w:ascii="仿宋_GB2312" w:hAnsi="CIDFont+F6" w:eastAsia="仿宋_GB2312"/>
          <w:color w:val="000000"/>
          <w:sz w:val="32"/>
          <w:szCs w:val="32"/>
        </w:rPr>
        <w:t>部门/单位</w:t>
      </w:r>
      <w:r>
        <w:rPr>
          <w:rFonts w:hint="eastAsia" w:ascii="仿宋_GB2312" w:hAnsi="宋体" w:eastAsia="仿宋_GB2312" w:cs="宋体"/>
          <w:spacing w:val="-20"/>
          <w:kern w:val="0"/>
          <w:sz w:val="32"/>
          <w:szCs w:val="32"/>
        </w:rPr>
        <w:t>名称 2024年</w:t>
      </w:r>
      <w:r>
        <w:rPr>
          <w:rFonts w:hint="eastAsia" w:ascii="仿宋_GB2312" w:hAnsi="CIDFont+F6" w:eastAsia="仿宋_GB2312"/>
          <w:color w:val="000000"/>
          <w:sz w:val="32"/>
          <w:szCs w:val="32"/>
        </w:rPr>
        <w:t>部门/单位</w:t>
      </w:r>
      <w:r>
        <w:rPr>
          <w:rFonts w:hint="eastAsia" w:ascii="仿宋_GB2312" w:hAnsi="宋体" w:eastAsia="仿宋_GB2312" w:cs="宋体"/>
          <w:spacing w:val="-20"/>
          <w:kern w:val="0"/>
          <w:sz w:val="32"/>
          <w:szCs w:val="32"/>
        </w:rPr>
        <w:t>预算公开表</w:t>
      </w:r>
    </w:p>
    <w:p>
      <w:pPr>
        <w:adjustRightInd w:val="0"/>
        <w:snapToGrid w:val="0"/>
        <w:spacing w:line="640" w:lineRule="exact"/>
        <w:ind w:left="1796" w:leftChars="767" w:hanging="185" w:hangingChars="58"/>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名称 2024年</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整体支出绩效目标及预算项目绩效目标表</w:t>
      </w:r>
    </w:p>
    <w:p>
      <w:pPr>
        <w:adjustRightInd w:val="0"/>
        <w:snapToGrid w:val="0"/>
        <w:spacing w:line="640" w:lineRule="exact"/>
        <w:contextualSpacing/>
        <w:rPr>
          <w:rFonts w:ascii="宋体" w:hAnsi="宋体"/>
          <w:b/>
        </w:rPr>
      </w:pPr>
      <w:r>
        <w:rPr>
          <w:rFonts w:hint="eastAsia" w:ascii="黑体" w:eastAsia="黑体"/>
          <w:sz w:val="30"/>
          <w:szCs w:val="30"/>
        </w:rPr>
        <w:br w:type="page"/>
      </w:r>
      <w:r>
        <w:rPr>
          <w:rFonts w:hint="eastAsia" w:ascii="黑体" w:eastAsia="黑体"/>
          <w:sz w:val="30"/>
          <w:szCs w:val="30"/>
        </w:rPr>
        <w:t>附件1</w:t>
      </w:r>
    </w:p>
    <w:tbl>
      <w:tblPr>
        <w:tblW w:w="105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759"/>
        <w:gridCol w:w="1627"/>
        <w:gridCol w:w="3677"/>
        <w:gridCol w:w="1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10552" w:type="dxa"/>
            <w:gridSpan w:val="4"/>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34"/>
                <w:szCs w:val="34"/>
                <w:u w:val="none"/>
              </w:rPr>
            </w:pPr>
            <w:r>
              <w:rPr>
                <w:rFonts w:ascii="宋体" w:hAnsi="宋体" w:eastAsia="宋体" w:cs="宋体"/>
                <w:b/>
                <w:bCs/>
                <w:i w:val="0"/>
                <w:iCs w:val="0"/>
                <w:color w:val="000000"/>
                <w:kern w:val="0"/>
                <w:sz w:val="34"/>
                <w:szCs w:val="34"/>
                <w:u w:val="none"/>
                <w:bdr w:val="none" w:color="auto" w:sz="0" w:space="0"/>
                <w:lang w:val="en-US" w:eastAsia="zh-CN" w:bidi="ar"/>
              </w:rPr>
              <w:t>部门收支总体情况表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9070" w:type="dxa"/>
            <w:gridSpan w:val="3"/>
            <w:tcBorders>
              <w:top w:val="nil"/>
              <w:left w:val="nil"/>
              <w:bottom w:val="nil"/>
              <w:right w:val="nil"/>
            </w:tcBorders>
            <w:shd w:val="clear"/>
            <w:vAlign w:val="center"/>
          </w:tcPr>
          <w:p>
            <w:pPr>
              <w:rPr>
                <w:rFonts w:hint="eastAsia" w:ascii="宋体" w:hAnsi="宋体" w:eastAsia="宋体" w:cs="宋体"/>
                <w:b/>
                <w:bCs/>
                <w:i w:val="0"/>
                <w:iCs w:val="0"/>
                <w:color w:val="000000"/>
                <w:sz w:val="18"/>
                <w:szCs w:val="18"/>
                <w:u w:val="none"/>
              </w:rPr>
            </w:pPr>
          </w:p>
        </w:tc>
        <w:tc>
          <w:tcPr>
            <w:tcW w:w="1482" w:type="dxa"/>
            <w:tcBorders>
              <w:top w:val="nil"/>
              <w:left w:val="nil"/>
              <w:bottom w:val="nil"/>
              <w:right w:val="nil"/>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539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收入</w:t>
            </w:r>
          </w:p>
        </w:tc>
        <w:tc>
          <w:tcPr>
            <w:tcW w:w="5162" w:type="dxa"/>
            <w:gridSpan w:val="2"/>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项目</w:t>
            </w: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预算数</w:t>
            </w: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项目</w:t>
            </w:r>
          </w:p>
        </w:tc>
        <w:tc>
          <w:tcPr>
            <w:tcW w:w="1482"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一、一般公共预算财政拨款收入</w:t>
            </w: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Hiragino Sans GB" w:hAnsi="Hiragino Sans GB" w:eastAsia="Hiragino Sans GB" w:cs="Hiragino Sans GB"/>
                <w:i w:val="0"/>
                <w:iCs w:val="0"/>
                <w:color w:val="000000"/>
                <w:sz w:val="18"/>
                <w:szCs w:val="18"/>
                <w:u w:val="none"/>
              </w:rPr>
            </w:pPr>
            <w:r>
              <w:rPr>
                <w:rFonts w:hint="default" w:ascii="Hiragino Sans GB" w:hAnsi="Hiragino Sans GB" w:eastAsia="Hiragino Sans GB" w:cs="Hiragino Sans GB"/>
                <w:i w:val="0"/>
                <w:iCs w:val="0"/>
                <w:color w:val="000000"/>
                <w:kern w:val="0"/>
                <w:sz w:val="18"/>
                <w:szCs w:val="18"/>
                <w:u w:val="none"/>
                <w:bdr w:val="none" w:color="auto" w:sz="0" w:space="0"/>
                <w:lang w:val="en-US" w:eastAsia="zh-CN" w:bidi="ar"/>
              </w:rPr>
              <w:t>384.39</w:t>
            </w: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一、一般公共服务支出</w:t>
            </w:r>
          </w:p>
        </w:tc>
        <w:tc>
          <w:tcPr>
            <w:tcW w:w="1482"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default" w:ascii="Hiragino Sans GB" w:hAnsi="Hiragino Sans GB" w:eastAsia="Hiragino Sans GB" w:cs="Hiragino Sans GB"/>
                <w:i w:val="0"/>
                <w:iCs w:val="0"/>
                <w:color w:val="000000"/>
                <w:sz w:val="18"/>
                <w:szCs w:val="18"/>
                <w:u w:val="none"/>
              </w:rPr>
            </w:pPr>
            <w:r>
              <w:rPr>
                <w:rFonts w:hint="default" w:ascii="Hiragino Sans GB" w:hAnsi="Hiragino Sans GB" w:eastAsia="Hiragino Sans GB" w:cs="Hiragino Sans GB"/>
                <w:i w:val="0"/>
                <w:iCs w:val="0"/>
                <w:color w:val="000000"/>
                <w:kern w:val="0"/>
                <w:sz w:val="18"/>
                <w:szCs w:val="18"/>
                <w:u w:val="none"/>
                <w:bdr w:val="none" w:color="auto" w:sz="0" w:space="0"/>
                <w:lang w:val="en-US" w:eastAsia="zh-CN" w:bidi="ar"/>
              </w:rPr>
              <w:t>311.32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二、政府性基金预算财政拨款收入</w:t>
            </w: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二、外交支出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三、国有资本经营预算收入</w:t>
            </w: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三、国防支出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四、教育专户核算</w:t>
            </w: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四、公共安全支出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五、事业收入</w:t>
            </w: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五、教育支出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六、上级补助收入</w:t>
            </w: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六、科学技术支出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七、附属单位上缴收入</w:t>
            </w: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七、文化旅游体育与传媒支出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八、经营收入</w:t>
            </w: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八、社会保障和就业支出</w:t>
            </w:r>
          </w:p>
        </w:tc>
        <w:tc>
          <w:tcPr>
            <w:tcW w:w="1482"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default" w:ascii="Hiragino Sans GB" w:hAnsi="Hiragino Sans GB" w:eastAsia="Hiragino Sans GB" w:cs="Hiragino Sans GB"/>
                <w:i w:val="0"/>
                <w:iCs w:val="0"/>
                <w:color w:val="000000"/>
                <w:sz w:val="18"/>
                <w:szCs w:val="18"/>
                <w:u w:val="none"/>
              </w:rPr>
            </w:pPr>
            <w:r>
              <w:rPr>
                <w:rFonts w:hint="default" w:ascii="Hiragino Sans GB" w:hAnsi="Hiragino Sans GB" w:eastAsia="Hiragino Sans GB" w:cs="Hiragino Sans GB"/>
                <w:i w:val="0"/>
                <w:iCs w:val="0"/>
                <w:color w:val="000000"/>
                <w:kern w:val="0"/>
                <w:sz w:val="18"/>
                <w:szCs w:val="18"/>
                <w:u w:val="none"/>
                <w:bdr w:val="none" w:color="auto" w:sz="0" w:space="0"/>
                <w:lang w:val="en-US" w:eastAsia="zh-CN" w:bidi="ar"/>
              </w:rPr>
              <w:t>47.84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九、其他收入</w:t>
            </w: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九、社会保险基金支出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十、卫生健康支出</w:t>
            </w:r>
          </w:p>
        </w:tc>
        <w:tc>
          <w:tcPr>
            <w:tcW w:w="1482"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default" w:ascii="Hiragino Sans GB" w:hAnsi="Hiragino Sans GB" w:eastAsia="Hiragino Sans GB" w:cs="Hiragino Sans GB"/>
                <w:i w:val="0"/>
                <w:iCs w:val="0"/>
                <w:color w:val="000000"/>
                <w:sz w:val="18"/>
                <w:szCs w:val="18"/>
                <w:u w:val="none"/>
              </w:rPr>
            </w:pPr>
            <w:r>
              <w:rPr>
                <w:rFonts w:hint="default" w:ascii="Hiragino Sans GB" w:hAnsi="Hiragino Sans GB" w:eastAsia="Hiragino Sans GB" w:cs="Hiragino Sans GB"/>
                <w:i w:val="0"/>
                <w:iCs w:val="0"/>
                <w:color w:val="000000"/>
                <w:kern w:val="0"/>
                <w:sz w:val="18"/>
                <w:szCs w:val="18"/>
                <w:u w:val="none"/>
                <w:bdr w:val="none" w:color="auto" w:sz="0" w:space="0"/>
                <w:lang w:val="en-US" w:eastAsia="zh-CN" w:bidi="ar"/>
              </w:rPr>
              <w:t>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十一、节能环保支出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十二、城乡社区支出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十三、农林水支出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十四、交通运输支出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十五、资源勘探工业信息等支出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十六、商业服务业等支出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十七、金融支出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十八、援助其他地区支出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十九、自然资源海洋气象等支出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二十、住房保障支出</w:t>
            </w:r>
          </w:p>
        </w:tc>
        <w:tc>
          <w:tcPr>
            <w:tcW w:w="1482"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default" w:ascii="Hiragino Sans GB" w:hAnsi="Hiragino Sans GB" w:eastAsia="Hiragino Sans GB" w:cs="Hiragino Sans GB"/>
                <w:i w:val="0"/>
                <w:iCs w:val="0"/>
                <w:color w:val="000000"/>
                <w:sz w:val="18"/>
                <w:szCs w:val="18"/>
                <w:u w:val="none"/>
              </w:rPr>
            </w:pPr>
            <w:r>
              <w:rPr>
                <w:rFonts w:hint="default" w:ascii="Hiragino Sans GB" w:hAnsi="Hiragino Sans GB" w:eastAsia="Hiragino Sans GB" w:cs="Hiragino Sans GB"/>
                <w:i w:val="0"/>
                <w:iCs w:val="0"/>
                <w:color w:val="000000"/>
                <w:kern w:val="0"/>
                <w:sz w:val="18"/>
                <w:szCs w:val="18"/>
                <w:u w:val="none"/>
                <w:bdr w:val="none" w:color="auto" w:sz="0" w:space="0"/>
                <w:lang w:val="en-US" w:eastAsia="zh-CN" w:bidi="ar"/>
              </w:rPr>
              <w:t>24.96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二十一、粮油物资储备支出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二十二、国有资本经营预算支出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二十三、灾害防治及应急管理支出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二十四、预备费</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二十五、其他支出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二十六、转移性支出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二十七、债务还本支出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二十八、债务付息支出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二十九、债务发行费用支出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三十、抗疫特别国债还本支出</w:t>
            </w:r>
          </w:p>
        </w:tc>
        <w:tc>
          <w:tcPr>
            <w:tcW w:w="1482"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482"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482"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482"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本年收入合计</w:t>
            </w: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384.39</w:t>
            </w: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本年支出合计</w:t>
            </w:r>
          </w:p>
        </w:tc>
        <w:tc>
          <w:tcPr>
            <w:tcW w:w="1482"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384.39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十、上年结转</w:t>
            </w: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三十一、年终结转结余</w:t>
            </w:r>
          </w:p>
        </w:tc>
        <w:tc>
          <w:tcPr>
            <w:tcW w:w="1482"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十一、上年结余</w:t>
            </w: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482"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482"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76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收入总计</w:t>
            </w:r>
          </w:p>
        </w:tc>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384.39</w:t>
            </w:r>
          </w:p>
        </w:tc>
        <w:tc>
          <w:tcPr>
            <w:tcW w:w="3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支出总计</w:t>
            </w:r>
          </w:p>
        </w:tc>
        <w:tc>
          <w:tcPr>
            <w:tcW w:w="1482"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384.39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552" w:type="dxa"/>
            <w:gridSpan w:val="4"/>
            <w:tcBorders>
              <w:top w:val="nil"/>
              <w:left w:val="nil"/>
              <w:bottom w:val="nil"/>
              <w:right w:val="nil"/>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备注：无内容应公开空表并说明情况。</w:t>
            </w:r>
          </w:p>
        </w:tc>
      </w:tr>
    </w:tbl>
    <w:p>
      <w:pPr>
        <w:spacing w:line="600" w:lineRule="exact"/>
        <w:jc w:val="center"/>
        <w:rPr>
          <w:rFonts w:hint="eastAsia" w:ascii="仿宋_GB2312" w:hAnsi="宋体" w:eastAsia="仿宋_GB2312" w:cs="宋体"/>
          <w:kern w:val="0"/>
          <w:sz w:val="32"/>
          <w:szCs w:val="32"/>
        </w:rPr>
      </w:pPr>
    </w:p>
    <w:p>
      <w:pPr>
        <w:spacing w:line="600" w:lineRule="exact"/>
        <w:jc w:val="center"/>
        <w:rPr>
          <w:rFonts w:hint="eastAsia" w:ascii="仿宋_GB2312" w:hAnsi="宋体" w:eastAsia="仿宋_GB2312" w:cs="宋体"/>
          <w:kern w:val="0"/>
          <w:sz w:val="32"/>
          <w:szCs w:val="32"/>
        </w:rPr>
      </w:pPr>
    </w:p>
    <w:p>
      <w:pPr>
        <w:spacing w:line="600" w:lineRule="exact"/>
        <w:jc w:val="center"/>
        <w:rPr>
          <w:rFonts w:hint="eastAsia" w:ascii="仿宋_GB2312" w:hAnsi="宋体" w:eastAsia="仿宋_GB2312" w:cs="宋体"/>
          <w:kern w:val="0"/>
          <w:sz w:val="32"/>
          <w:szCs w:val="32"/>
        </w:rPr>
      </w:pPr>
    </w:p>
    <w:p>
      <w:pPr>
        <w:tabs>
          <w:tab w:val="left" w:pos="1272"/>
        </w:tabs>
        <w:rPr>
          <w:rFonts w:ascii="仿宋_GB2312" w:hAnsi="微软雅黑" w:eastAsia="仿宋_GB2312"/>
          <w:sz w:val="18"/>
          <w:szCs w:val="18"/>
        </w:rPr>
      </w:pPr>
    </w:p>
    <w:tbl>
      <w:tblPr>
        <w:tblW w:w="102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133"/>
        <w:gridCol w:w="2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10227" w:type="dxa"/>
            <w:gridSpan w:val="2"/>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34"/>
                <w:szCs w:val="34"/>
                <w:u w:val="none"/>
              </w:rPr>
            </w:pPr>
            <w:r>
              <w:rPr>
                <w:rFonts w:hint="eastAsia" w:ascii="仿宋_GB2312" w:hAnsi="宋体" w:eastAsia="仿宋_GB2312" w:cs="宋体"/>
                <w:kern w:val="0"/>
                <w:sz w:val="32"/>
                <w:szCs w:val="32"/>
              </w:rPr>
              <w:t>表</w:t>
            </w: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w:t>
            </w:r>
            <w:r>
              <w:rPr>
                <w:rFonts w:ascii="宋体" w:hAnsi="宋体" w:eastAsia="宋体" w:cs="宋体"/>
                <w:b/>
                <w:bCs/>
                <w:i w:val="0"/>
                <w:iCs w:val="0"/>
                <w:color w:val="000000"/>
                <w:kern w:val="0"/>
                <w:sz w:val="34"/>
                <w:szCs w:val="34"/>
                <w:u w:val="none"/>
                <w:bdr w:val="none" w:color="auto" w:sz="0" w:space="0"/>
                <w:lang w:val="en-US" w:eastAsia="zh-CN" w:bidi="ar"/>
              </w:rPr>
              <w:t>部门收入总体情况表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8143" w:type="dxa"/>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2084" w:type="dxa"/>
            <w:tcBorders>
              <w:top w:val="nil"/>
              <w:left w:val="nil"/>
              <w:bottom w:val="nil"/>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814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项目</w:t>
            </w:r>
          </w:p>
        </w:tc>
        <w:tc>
          <w:tcPr>
            <w:tcW w:w="208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814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一、一般公共预算财政拨款收入</w:t>
            </w:r>
          </w:p>
        </w:tc>
        <w:tc>
          <w:tcPr>
            <w:tcW w:w="2084"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814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二、政府性基金预算财政拨款收入</w:t>
            </w:r>
          </w:p>
        </w:tc>
        <w:tc>
          <w:tcPr>
            <w:tcW w:w="2084"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814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三、国有资本经营预算收入</w:t>
            </w:r>
          </w:p>
        </w:tc>
        <w:tc>
          <w:tcPr>
            <w:tcW w:w="2084"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814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四、教育专户核算</w:t>
            </w:r>
          </w:p>
        </w:tc>
        <w:tc>
          <w:tcPr>
            <w:tcW w:w="2084"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814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五、事业收入</w:t>
            </w:r>
          </w:p>
        </w:tc>
        <w:tc>
          <w:tcPr>
            <w:tcW w:w="2084"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814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六、上级补助收入</w:t>
            </w:r>
          </w:p>
        </w:tc>
        <w:tc>
          <w:tcPr>
            <w:tcW w:w="2084"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814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七、附属单位上缴收入</w:t>
            </w:r>
          </w:p>
        </w:tc>
        <w:tc>
          <w:tcPr>
            <w:tcW w:w="2084"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814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八、经营收入</w:t>
            </w:r>
          </w:p>
        </w:tc>
        <w:tc>
          <w:tcPr>
            <w:tcW w:w="2084"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814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九、其他收入</w:t>
            </w:r>
          </w:p>
        </w:tc>
        <w:tc>
          <w:tcPr>
            <w:tcW w:w="2084"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814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 xml:space="preserve">        本年收入合计</w:t>
            </w:r>
          </w:p>
        </w:tc>
        <w:tc>
          <w:tcPr>
            <w:tcW w:w="208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814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十、上年结转</w:t>
            </w:r>
          </w:p>
        </w:tc>
        <w:tc>
          <w:tcPr>
            <w:tcW w:w="208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8143" w:type="dxa"/>
            <w:tcBorders>
              <w:top w:val="single" w:color="000000" w:sz="4" w:space="0"/>
              <w:left w:val="nil"/>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208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814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十一、上年结余</w:t>
            </w:r>
          </w:p>
        </w:tc>
        <w:tc>
          <w:tcPr>
            <w:tcW w:w="208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8143" w:type="dxa"/>
            <w:tcBorders>
              <w:top w:val="single" w:color="000000" w:sz="4" w:space="0"/>
              <w:left w:val="nil"/>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208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814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 xml:space="preserve">        收入合计</w:t>
            </w:r>
          </w:p>
        </w:tc>
        <w:tc>
          <w:tcPr>
            <w:tcW w:w="208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0227" w:type="dxa"/>
            <w:gridSpan w:val="2"/>
            <w:tcBorders>
              <w:top w:val="nil"/>
              <w:left w:val="nil"/>
              <w:bottom w:val="nil"/>
              <w:right w:val="nil"/>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备注：无内容应公开空表并说明情况。</w:t>
            </w:r>
          </w:p>
        </w:tc>
      </w:tr>
    </w:tbl>
    <w:p>
      <w:pPr>
        <w:tabs>
          <w:tab w:val="left" w:pos="127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表三、</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支出总体情况表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p>
      <w:pPr>
        <w:rPr>
          <w:rFonts w:ascii="仿宋_GB2312" w:hAnsi="微软雅黑" w:eastAsia="仿宋_GB2312"/>
          <w:sz w:val="18"/>
          <w:szCs w:val="18"/>
        </w:rPr>
      </w:pPr>
    </w:p>
    <w:p>
      <w:pPr>
        <w:rPr>
          <w:rFonts w:ascii="仿宋_GB2312" w:hAnsi="微软雅黑" w:eastAsia="仿宋_GB2312"/>
          <w:sz w:val="18"/>
          <w:szCs w:val="18"/>
        </w:rPr>
      </w:pPr>
    </w:p>
    <w:tbl>
      <w:tblPr>
        <w:tblW w:w="104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922"/>
        <w:gridCol w:w="1808"/>
        <w:gridCol w:w="1644"/>
        <w:gridCol w:w="1596"/>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392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功能分类科目</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支出合计</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基本支出</w:t>
            </w:r>
          </w:p>
        </w:tc>
        <w:tc>
          <w:tcPr>
            <w:tcW w:w="15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项目支出</w:t>
            </w:r>
          </w:p>
        </w:tc>
        <w:tc>
          <w:tcPr>
            <w:tcW w:w="151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92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合计</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384.39</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384.39</w:t>
            </w:r>
          </w:p>
        </w:tc>
        <w:tc>
          <w:tcPr>
            <w:tcW w:w="159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51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92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一般公共服务支出</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311.32</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311.32</w:t>
            </w:r>
          </w:p>
        </w:tc>
        <w:tc>
          <w:tcPr>
            <w:tcW w:w="159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51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92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政府办公厅（室）及相关机构事务</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311.32</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311.32</w:t>
            </w:r>
          </w:p>
        </w:tc>
        <w:tc>
          <w:tcPr>
            <w:tcW w:w="159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51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92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事业运行</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311.32</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311.32</w:t>
            </w:r>
          </w:p>
        </w:tc>
        <w:tc>
          <w:tcPr>
            <w:tcW w:w="159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92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社会保障和就业支出</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47.84</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47.84</w:t>
            </w:r>
          </w:p>
        </w:tc>
        <w:tc>
          <w:tcPr>
            <w:tcW w:w="159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51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92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行政事业单位养老支出</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47.84</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47.84</w:t>
            </w:r>
          </w:p>
        </w:tc>
        <w:tc>
          <w:tcPr>
            <w:tcW w:w="159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51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92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机关事业单位基本养老保险缴费支出</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47.84</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47.84</w:t>
            </w:r>
          </w:p>
        </w:tc>
        <w:tc>
          <w:tcPr>
            <w:tcW w:w="159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92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卫生健康支出</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0.27</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0.27</w:t>
            </w:r>
          </w:p>
        </w:tc>
        <w:tc>
          <w:tcPr>
            <w:tcW w:w="159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51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92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行政事业单位医疗</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0.27</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0.27</w:t>
            </w:r>
          </w:p>
        </w:tc>
        <w:tc>
          <w:tcPr>
            <w:tcW w:w="159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51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92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事业单位医疗</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0.27</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0.27</w:t>
            </w:r>
          </w:p>
        </w:tc>
        <w:tc>
          <w:tcPr>
            <w:tcW w:w="159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92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住房保障支出</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24.96</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24.96</w:t>
            </w:r>
          </w:p>
        </w:tc>
        <w:tc>
          <w:tcPr>
            <w:tcW w:w="159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51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92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住房改革支出</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24.96</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24.96</w:t>
            </w:r>
          </w:p>
        </w:tc>
        <w:tc>
          <w:tcPr>
            <w:tcW w:w="159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51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92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住房公积金</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24.96</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24.96</w:t>
            </w:r>
          </w:p>
        </w:tc>
        <w:tc>
          <w:tcPr>
            <w:tcW w:w="159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0487" w:type="dxa"/>
            <w:gridSpan w:val="5"/>
            <w:tcBorders>
              <w:top w:val="nil"/>
              <w:left w:val="nil"/>
              <w:bottom w:val="nil"/>
              <w:right w:val="nil"/>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备注：无内容应公开空表并说明情况。</w:t>
            </w:r>
          </w:p>
        </w:tc>
      </w:tr>
    </w:tbl>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4056"/>
        </w:tabs>
        <w:rPr>
          <w:rFonts w:ascii="仿宋_GB2312" w:hAnsi="微软雅黑" w:eastAsia="仿宋_GB2312"/>
          <w:sz w:val="18"/>
          <w:szCs w:val="18"/>
        </w:rPr>
      </w:pPr>
      <w:r>
        <w:rPr>
          <w:rFonts w:ascii="仿宋_GB2312" w:hAnsi="微软雅黑" w:eastAsia="仿宋_GB2312"/>
          <w:sz w:val="18"/>
          <w:szCs w:val="18"/>
        </w:rPr>
        <w:tab/>
      </w:r>
    </w:p>
    <w:p>
      <w:pPr>
        <w:tabs>
          <w:tab w:val="left" w:pos="4056"/>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表四、财政拨款收支总体情况表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W w:w="105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945"/>
        <w:gridCol w:w="2001"/>
        <w:gridCol w:w="3823"/>
        <w:gridCol w:w="1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4951"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收入</w:t>
            </w:r>
          </w:p>
        </w:tc>
        <w:tc>
          <w:tcPr>
            <w:tcW w:w="5574" w:type="dxa"/>
            <w:gridSpan w:val="2"/>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项目</w:t>
            </w: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预算数</w:t>
            </w: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项目</w:t>
            </w:r>
          </w:p>
        </w:tc>
        <w:tc>
          <w:tcPr>
            <w:tcW w:w="1747"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一、本年收入</w:t>
            </w: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384.39</w:t>
            </w: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一、本年支出</w:t>
            </w:r>
          </w:p>
        </w:tc>
        <w:tc>
          <w:tcPr>
            <w:tcW w:w="1747"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384.39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（一）一般公共预算财政拨款</w:t>
            </w: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Hiragino Sans GB" w:hAnsi="Hiragino Sans GB" w:eastAsia="Hiragino Sans GB" w:cs="Hiragino Sans GB"/>
                <w:i w:val="0"/>
                <w:iCs w:val="0"/>
                <w:color w:val="000000"/>
                <w:sz w:val="18"/>
                <w:szCs w:val="18"/>
                <w:u w:val="none"/>
              </w:rPr>
            </w:pPr>
            <w:r>
              <w:rPr>
                <w:rFonts w:hint="default" w:ascii="Hiragino Sans GB" w:hAnsi="Hiragino Sans GB" w:eastAsia="Hiragino Sans GB" w:cs="Hiragino Sans GB"/>
                <w:i w:val="0"/>
                <w:iCs w:val="0"/>
                <w:color w:val="000000"/>
                <w:kern w:val="0"/>
                <w:sz w:val="18"/>
                <w:szCs w:val="18"/>
                <w:u w:val="none"/>
                <w:bdr w:val="none" w:color="auto" w:sz="0" w:space="0"/>
                <w:lang w:val="en-US" w:eastAsia="zh-CN" w:bidi="ar"/>
              </w:rPr>
              <w:t>384.39</w:t>
            </w: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（一）一般公共服务支出</w:t>
            </w:r>
          </w:p>
        </w:tc>
        <w:tc>
          <w:tcPr>
            <w:tcW w:w="1747"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default" w:ascii="Hiragino Sans GB" w:hAnsi="Hiragino Sans GB" w:eastAsia="Hiragino Sans GB" w:cs="Hiragino Sans GB"/>
                <w:i w:val="0"/>
                <w:iCs w:val="0"/>
                <w:color w:val="000000"/>
                <w:sz w:val="18"/>
                <w:szCs w:val="18"/>
                <w:u w:val="none"/>
              </w:rPr>
            </w:pPr>
            <w:r>
              <w:rPr>
                <w:rFonts w:hint="default" w:ascii="Hiragino Sans GB" w:hAnsi="Hiragino Sans GB" w:eastAsia="Hiragino Sans GB" w:cs="Hiragino Sans GB"/>
                <w:i w:val="0"/>
                <w:iCs w:val="0"/>
                <w:color w:val="000000"/>
                <w:kern w:val="0"/>
                <w:sz w:val="18"/>
                <w:szCs w:val="18"/>
                <w:u w:val="none"/>
                <w:bdr w:val="none" w:color="auto" w:sz="0" w:space="0"/>
                <w:lang w:val="en-US" w:eastAsia="zh-CN" w:bidi="ar"/>
              </w:rPr>
              <w:t>311.32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（二）政府性基金预算财政拨款</w:t>
            </w: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（二）外交支出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（三）国有资本经营预算财政拨款</w:t>
            </w: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（三）国防支出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（四）公共安全支出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（五）教育支出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（六）科学技术支出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（七）文化体育与传媒支出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（八）社会保障和就业支出</w:t>
            </w:r>
          </w:p>
        </w:tc>
        <w:tc>
          <w:tcPr>
            <w:tcW w:w="1747"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default" w:ascii="Hiragino Sans GB" w:hAnsi="Hiragino Sans GB" w:eastAsia="Hiragino Sans GB" w:cs="Hiragino Sans GB"/>
                <w:i w:val="0"/>
                <w:iCs w:val="0"/>
                <w:color w:val="000000"/>
                <w:sz w:val="18"/>
                <w:szCs w:val="18"/>
                <w:u w:val="none"/>
              </w:rPr>
            </w:pPr>
            <w:r>
              <w:rPr>
                <w:rFonts w:hint="default" w:ascii="Hiragino Sans GB" w:hAnsi="Hiragino Sans GB" w:eastAsia="Hiragino Sans GB" w:cs="Hiragino Sans GB"/>
                <w:i w:val="0"/>
                <w:iCs w:val="0"/>
                <w:color w:val="000000"/>
                <w:kern w:val="0"/>
                <w:sz w:val="18"/>
                <w:szCs w:val="18"/>
                <w:u w:val="none"/>
                <w:bdr w:val="none" w:color="auto" w:sz="0" w:space="0"/>
                <w:lang w:val="en-US" w:eastAsia="zh-CN" w:bidi="ar"/>
              </w:rPr>
              <w:t>47.84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（九）社会保险基金支出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（十）医疗卫生与计划生育支出</w:t>
            </w:r>
          </w:p>
        </w:tc>
        <w:tc>
          <w:tcPr>
            <w:tcW w:w="1747"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default" w:ascii="Hiragino Sans GB" w:hAnsi="Hiragino Sans GB" w:eastAsia="Hiragino Sans GB" w:cs="Hiragino Sans GB"/>
                <w:i w:val="0"/>
                <w:iCs w:val="0"/>
                <w:color w:val="000000"/>
                <w:sz w:val="18"/>
                <w:szCs w:val="18"/>
                <w:u w:val="none"/>
              </w:rPr>
            </w:pPr>
            <w:r>
              <w:rPr>
                <w:rFonts w:hint="default" w:ascii="Hiragino Sans GB" w:hAnsi="Hiragino Sans GB" w:eastAsia="Hiragino Sans GB" w:cs="Hiragino Sans GB"/>
                <w:i w:val="0"/>
                <w:iCs w:val="0"/>
                <w:color w:val="000000"/>
                <w:kern w:val="0"/>
                <w:sz w:val="18"/>
                <w:szCs w:val="18"/>
                <w:u w:val="none"/>
                <w:bdr w:val="none" w:color="auto" w:sz="0" w:space="0"/>
                <w:lang w:val="en-US" w:eastAsia="zh-CN" w:bidi="ar"/>
              </w:rPr>
              <w:t>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（十一）节能环保支出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（十二）城乡社区支出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（十三）农林水支出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（十四）交通运输支出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（十五）资源勘探信息等支出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（十六）商业服务业等支出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（十七）金融支出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（十八）援助其他地区支出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（十九）国土海洋气象等支出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（二十）住房保障支出</w:t>
            </w:r>
          </w:p>
        </w:tc>
        <w:tc>
          <w:tcPr>
            <w:tcW w:w="1747"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default" w:ascii="Hiragino Sans GB" w:hAnsi="Hiragino Sans GB" w:eastAsia="Hiragino Sans GB" w:cs="Hiragino Sans GB"/>
                <w:i w:val="0"/>
                <w:iCs w:val="0"/>
                <w:color w:val="000000"/>
                <w:sz w:val="18"/>
                <w:szCs w:val="18"/>
                <w:u w:val="none"/>
              </w:rPr>
            </w:pPr>
            <w:r>
              <w:rPr>
                <w:rFonts w:hint="default" w:ascii="Hiragino Sans GB" w:hAnsi="Hiragino Sans GB" w:eastAsia="Hiragino Sans GB" w:cs="Hiragino Sans GB"/>
                <w:i w:val="0"/>
                <w:iCs w:val="0"/>
                <w:color w:val="000000"/>
                <w:kern w:val="0"/>
                <w:sz w:val="18"/>
                <w:szCs w:val="18"/>
                <w:u w:val="none"/>
                <w:bdr w:val="none" w:color="auto" w:sz="0" w:space="0"/>
                <w:lang w:val="en-US" w:eastAsia="zh-CN" w:bidi="ar"/>
              </w:rPr>
              <w:t>24.96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（二十一）粮油物资储备支出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（二十二）国有资本经营预算支出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（二十三）灾害防治及应急管理支出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（二十四）预备费</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（二十五）其他支出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（二十六）债务还本支出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（二十七）债务付息支出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（二十八）债务发行费用支出</w:t>
            </w: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7" w:type="dxa"/>
            <w:tcBorders>
              <w:top w:val="single" w:color="000000" w:sz="4" w:space="0"/>
              <w:left w:val="single" w:color="000000" w:sz="4" w:space="0"/>
              <w:bottom w:val="single" w:color="000000" w:sz="4" w:space="0"/>
              <w:right w:val="nil"/>
            </w:tcBorders>
            <w:shd w:val="clear"/>
            <w:vAlign w:val="center"/>
          </w:tcPr>
          <w:p>
            <w:pPr>
              <w:jc w:val="right"/>
              <w:rPr>
                <w:rFonts w:hint="default"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94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收入总计</w:t>
            </w:r>
          </w:p>
        </w:tc>
        <w:tc>
          <w:tcPr>
            <w:tcW w:w="20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384.39</w:t>
            </w:r>
          </w:p>
        </w:tc>
        <w:tc>
          <w:tcPr>
            <w:tcW w:w="3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支出总计</w:t>
            </w:r>
          </w:p>
        </w:tc>
        <w:tc>
          <w:tcPr>
            <w:tcW w:w="1747"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384.39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525" w:type="dxa"/>
            <w:gridSpan w:val="4"/>
            <w:tcBorders>
              <w:top w:val="nil"/>
              <w:left w:val="nil"/>
              <w:bottom w:val="nil"/>
              <w:right w:val="nil"/>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备注：无内容应公开空表并说明情况。</w:t>
            </w:r>
          </w:p>
        </w:tc>
      </w:tr>
    </w:tbl>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2784"/>
        </w:tabs>
        <w:rPr>
          <w:rFonts w:ascii="仿宋_GB2312" w:hAnsi="微软雅黑" w:eastAsia="仿宋_GB2312"/>
          <w:sz w:val="18"/>
          <w:szCs w:val="18"/>
        </w:rPr>
      </w:pPr>
    </w:p>
    <w:p>
      <w:pPr>
        <w:tabs>
          <w:tab w:val="left" w:pos="2784"/>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表五、财政拨款支出表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W w:w="155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367"/>
        <w:gridCol w:w="1253"/>
        <w:gridCol w:w="1204"/>
        <w:gridCol w:w="1204"/>
        <w:gridCol w:w="1302"/>
        <w:gridCol w:w="1155"/>
        <w:gridCol w:w="1285"/>
        <w:gridCol w:w="1204"/>
        <w:gridCol w:w="1090"/>
        <w:gridCol w:w="1171"/>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3371"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单位名称</w:t>
            </w:r>
          </w:p>
        </w:tc>
        <w:tc>
          <w:tcPr>
            <w:tcW w:w="125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合计</w:t>
            </w:r>
          </w:p>
        </w:tc>
        <w:tc>
          <w:tcPr>
            <w:tcW w:w="371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一般公共预算支出</w:t>
            </w:r>
          </w:p>
        </w:tc>
        <w:tc>
          <w:tcPr>
            <w:tcW w:w="3647"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政府性基金预算支出</w:t>
            </w:r>
          </w:p>
        </w:tc>
        <w:tc>
          <w:tcPr>
            <w:tcW w:w="3598"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371" w:type="dxa"/>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合计</w:t>
            </w: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基本支出</w:t>
            </w:r>
          </w:p>
        </w:tc>
        <w:tc>
          <w:tcPr>
            <w:tcW w:w="13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项目支出</w:t>
            </w:r>
          </w:p>
        </w:tc>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合计</w:t>
            </w:r>
          </w:p>
        </w:tc>
        <w:tc>
          <w:tcPr>
            <w:tcW w:w="12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基本支出</w:t>
            </w: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项目支出</w:t>
            </w: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合计</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基本支出</w:t>
            </w:r>
          </w:p>
        </w:tc>
        <w:tc>
          <w:tcPr>
            <w:tcW w:w="133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3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合计</w:t>
            </w:r>
          </w:p>
        </w:tc>
        <w:tc>
          <w:tcPr>
            <w:tcW w:w="12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384.39</w:t>
            </w: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384.39</w:t>
            </w: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384.39</w:t>
            </w:r>
          </w:p>
        </w:tc>
        <w:tc>
          <w:tcPr>
            <w:tcW w:w="130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8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3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积石山县政府机关服务中心</w:t>
            </w:r>
          </w:p>
        </w:tc>
        <w:tc>
          <w:tcPr>
            <w:tcW w:w="12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384.39</w:t>
            </w: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384.39</w:t>
            </w: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384.39</w:t>
            </w:r>
          </w:p>
        </w:tc>
        <w:tc>
          <w:tcPr>
            <w:tcW w:w="130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128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1335"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3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积石山县政府机关服务中心</w:t>
            </w:r>
          </w:p>
        </w:tc>
        <w:tc>
          <w:tcPr>
            <w:tcW w:w="12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384.39</w:t>
            </w: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384.39</w:t>
            </w: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384.39</w:t>
            </w:r>
          </w:p>
        </w:tc>
        <w:tc>
          <w:tcPr>
            <w:tcW w:w="130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28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583" w:type="dxa"/>
            <w:gridSpan w:val="11"/>
            <w:tcBorders>
              <w:top w:val="nil"/>
              <w:left w:val="nil"/>
              <w:bottom w:val="nil"/>
              <w:right w:val="nil"/>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备注：无内容应公开空表并说明情况。</w:t>
            </w:r>
          </w:p>
        </w:tc>
      </w:tr>
    </w:tbl>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3936"/>
        </w:tabs>
        <w:rPr>
          <w:rFonts w:ascii="仿宋_GB2312" w:hAnsi="微软雅黑" w:eastAsia="仿宋_GB2312"/>
          <w:sz w:val="18"/>
          <w:szCs w:val="18"/>
        </w:rPr>
      </w:pPr>
      <w:r>
        <w:rPr>
          <w:rFonts w:ascii="仿宋_GB2312" w:hAnsi="微软雅黑" w:eastAsia="仿宋_GB2312"/>
          <w:sz w:val="18"/>
          <w:szCs w:val="18"/>
        </w:rPr>
        <w:tab/>
      </w:r>
    </w:p>
    <w:p>
      <w:pPr>
        <w:tabs>
          <w:tab w:val="left" w:pos="3936"/>
        </w:tabs>
        <w:rPr>
          <w:rFonts w:ascii="仿宋_GB2312" w:hAnsi="微软雅黑" w:eastAsia="仿宋_GB2312"/>
          <w:sz w:val="18"/>
          <w:szCs w:val="18"/>
        </w:rPr>
        <w:sectPr>
          <w:pgSz w:w="16838" w:h="11906" w:orient="landscape"/>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表六、一般公共预算支出情况表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W w:w="105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676"/>
        <w:gridCol w:w="3092"/>
        <w:gridCol w:w="1839"/>
        <w:gridCol w:w="1920"/>
        <w:gridCol w:w="2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4771"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功能分类科目</w:t>
            </w:r>
          </w:p>
        </w:tc>
        <w:tc>
          <w:tcPr>
            <w:tcW w:w="5764"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一般公共预算支出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677"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科目编码</w:t>
            </w:r>
          </w:p>
        </w:tc>
        <w:tc>
          <w:tcPr>
            <w:tcW w:w="30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科目名称</w:t>
            </w:r>
          </w:p>
        </w:tc>
        <w:tc>
          <w:tcPr>
            <w:tcW w:w="1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合计</w:t>
            </w:r>
          </w:p>
        </w:tc>
        <w:tc>
          <w:tcPr>
            <w:tcW w:w="19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基本支出</w:t>
            </w:r>
          </w:p>
        </w:tc>
        <w:tc>
          <w:tcPr>
            <w:tcW w:w="2003"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677" w:type="dxa"/>
            <w:tcBorders>
              <w:top w:val="single" w:color="000000" w:sz="4" w:space="0"/>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合计</w:t>
            </w:r>
          </w:p>
        </w:tc>
        <w:tc>
          <w:tcPr>
            <w:tcW w:w="1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384.39</w:t>
            </w:r>
          </w:p>
        </w:tc>
        <w:tc>
          <w:tcPr>
            <w:tcW w:w="19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384.38927</w:t>
            </w:r>
          </w:p>
        </w:tc>
        <w:tc>
          <w:tcPr>
            <w:tcW w:w="2003" w:type="dxa"/>
            <w:tcBorders>
              <w:top w:val="single" w:color="000000" w:sz="4" w:space="0"/>
              <w:left w:val="single" w:color="000000" w:sz="4" w:space="0"/>
              <w:bottom w:val="single" w:color="000000" w:sz="4" w:space="0"/>
              <w:right w:val="nil"/>
            </w:tcBorders>
            <w:shd w:val="clear" w:color="FFFFFF" w:fill="FFFFFF"/>
            <w:vAlign w:val="center"/>
          </w:tcPr>
          <w:p>
            <w:pP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67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201</w:t>
            </w:r>
          </w:p>
        </w:tc>
        <w:tc>
          <w:tcPr>
            <w:tcW w:w="3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一般公共服务支出</w:t>
            </w:r>
          </w:p>
        </w:tc>
        <w:tc>
          <w:tcPr>
            <w:tcW w:w="1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311.32088</w:t>
            </w:r>
          </w:p>
        </w:tc>
        <w:tc>
          <w:tcPr>
            <w:tcW w:w="19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311.32088</w:t>
            </w:r>
          </w:p>
        </w:tc>
        <w:tc>
          <w:tcPr>
            <w:tcW w:w="20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67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20103</w:t>
            </w:r>
          </w:p>
        </w:tc>
        <w:tc>
          <w:tcPr>
            <w:tcW w:w="3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政府办公厅（室）及相关机构事务</w:t>
            </w:r>
          </w:p>
        </w:tc>
        <w:tc>
          <w:tcPr>
            <w:tcW w:w="1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311.32088</w:t>
            </w:r>
          </w:p>
        </w:tc>
        <w:tc>
          <w:tcPr>
            <w:tcW w:w="19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311.32088</w:t>
            </w:r>
          </w:p>
        </w:tc>
        <w:tc>
          <w:tcPr>
            <w:tcW w:w="20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67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2010350</w:t>
            </w:r>
          </w:p>
        </w:tc>
        <w:tc>
          <w:tcPr>
            <w:tcW w:w="3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事业运行</w:t>
            </w:r>
          </w:p>
        </w:tc>
        <w:tc>
          <w:tcPr>
            <w:tcW w:w="1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311.32088</w:t>
            </w:r>
          </w:p>
        </w:tc>
        <w:tc>
          <w:tcPr>
            <w:tcW w:w="19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311.32088</w:t>
            </w:r>
          </w:p>
        </w:tc>
        <w:tc>
          <w:tcPr>
            <w:tcW w:w="20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67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208</w:t>
            </w:r>
          </w:p>
        </w:tc>
        <w:tc>
          <w:tcPr>
            <w:tcW w:w="3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社会保障和就业支出</w:t>
            </w:r>
          </w:p>
        </w:tc>
        <w:tc>
          <w:tcPr>
            <w:tcW w:w="1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47.838942</w:t>
            </w:r>
          </w:p>
        </w:tc>
        <w:tc>
          <w:tcPr>
            <w:tcW w:w="19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47.838942</w:t>
            </w:r>
          </w:p>
        </w:tc>
        <w:tc>
          <w:tcPr>
            <w:tcW w:w="20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67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20805</w:t>
            </w:r>
          </w:p>
        </w:tc>
        <w:tc>
          <w:tcPr>
            <w:tcW w:w="3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行政事业单位养老支出</w:t>
            </w:r>
          </w:p>
        </w:tc>
        <w:tc>
          <w:tcPr>
            <w:tcW w:w="1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47.838942</w:t>
            </w:r>
          </w:p>
        </w:tc>
        <w:tc>
          <w:tcPr>
            <w:tcW w:w="19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47.838942</w:t>
            </w:r>
          </w:p>
        </w:tc>
        <w:tc>
          <w:tcPr>
            <w:tcW w:w="20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67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2080505</w:t>
            </w:r>
          </w:p>
        </w:tc>
        <w:tc>
          <w:tcPr>
            <w:tcW w:w="3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机关事业单位基本养老保险缴费支出</w:t>
            </w:r>
          </w:p>
        </w:tc>
        <w:tc>
          <w:tcPr>
            <w:tcW w:w="1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47.838942</w:t>
            </w:r>
          </w:p>
        </w:tc>
        <w:tc>
          <w:tcPr>
            <w:tcW w:w="19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47.838942</w:t>
            </w:r>
          </w:p>
        </w:tc>
        <w:tc>
          <w:tcPr>
            <w:tcW w:w="20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67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210</w:t>
            </w:r>
          </w:p>
        </w:tc>
        <w:tc>
          <w:tcPr>
            <w:tcW w:w="3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卫生健康支出</w:t>
            </w:r>
          </w:p>
        </w:tc>
        <w:tc>
          <w:tcPr>
            <w:tcW w:w="1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0.27</w:t>
            </w:r>
          </w:p>
        </w:tc>
        <w:tc>
          <w:tcPr>
            <w:tcW w:w="19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0.27</w:t>
            </w:r>
          </w:p>
        </w:tc>
        <w:tc>
          <w:tcPr>
            <w:tcW w:w="20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67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21011</w:t>
            </w:r>
          </w:p>
        </w:tc>
        <w:tc>
          <w:tcPr>
            <w:tcW w:w="3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行政事业单位医疗</w:t>
            </w:r>
          </w:p>
        </w:tc>
        <w:tc>
          <w:tcPr>
            <w:tcW w:w="1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0.27</w:t>
            </w:r>
          </w:p>
        </w:tc>
        <w:tc>
          <w:tcPr>
            <w:tcW w:w="19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0.27</w:t>
            </w:r>
          </w:p>
        </w:tc>
        <w:tc>
          <w:tcPr>
            <w:tcW w:w="20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67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2101102</w:t>
            </w:r>
          </w:p>
        </w:tc>
        <w:tc>
          <w:tcPr>
            <w:tcW w:w="3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事业单位医疗</w:t>
            </w:r>
          </w:p>
        </w:tc>
        <w:tc>
          <w:tcPr>
            <w:tcW w:w="1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0.27</w:t>
            </w:r>
          </w:p>
        </w:tc>
        <w:tc>
          <w:tcPr>
            <w:tcW w:w="19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0.27</w:t>
            </w:r>
          </w:p>
        </w:tc>
        <w:tc>
          <w:tcPr>
            <w:tcW w:w="20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67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221</w:t>
            </w:r>
          </w:p>
        </w:tc>
        <w:tc>
          <w:tcPr>
            <w:tcW w:w="3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住房保障支出</w:t>
            </w:r>
          </w:p>
        </w:tc>
        <w:tc>
          <w:tcPr>
            <w:tcW w:w="1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24.959448</w:t>
            </w:r>
          </w:p>
        </w:tc>
        <w:tc>
          <w:tcPr>
            <w:tcW w:w="19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24.959448</w:t>
            </w:r>
          </w:p>
        </w:tc>
        <w:tc>
          <w:tcPr>
            <w:tcW w:w="20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67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22102</w:t>
            </w:r>
          </w:p>
        </w:tc>
        <w:tc>
          <w:tcPr>
            <w:tcW w:w="3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住房改革支出</w:t>
            </w:r>
          </w:p>
        </w:tc>
        <w:tc>
          <w:tcPr>
            <w:tcW w:w="1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24.959448</w:t>
            </w:r>
          </w:p>
        </w:tc>
        <w:tc>
          <w:tcPr>
            <w:tcW w:w="19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24.959448</w:t>
            </w:r>
          </w:p>
        </w:tc>
        <w:tc>
          <w:tcPr>
            <w:tcW w:w="20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67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2210201</w:t>
            </w:r>
          </w:p>
        </w:tc>
        <w:tc>
          <w:tcPr>
            <w:tcW w:w="3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住房公积金</w:t>
            </w:r>
          </w:p>
        </w:tc>
        <w:tc>
          <w:tcPr>
            <w:tcW w:w="1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24.959448</w:t>
            </w:r>
          </w:p>
        </w:tc>
        <w:tc>
          <w:tcPr>
            <w:tcW w:w="19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24.959448</w:t>
            </w:r>
          </w:p>
        </w:tc>
        <w:tc>
          <w:tcPr>
            <w:tcW w:w="20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535" w:type="dxa"/>
            <w:gridSpan w:val="5"/>
            <w:tcBorders>
              <w:top w:val="nil"/>
              <w:left w:val="nil"/>
              <w:bottom w:val="nil"/>
              <w:right w:val="nil"/>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备注：无内容应公开空表并说明情况。</w:t>
            </w:r>
          </w:p>
        </w:tc>
      </w:tr>
    </w:tbl>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2472"/>
        </w:tabs>
        <w:rPr>
          <w:rFonts w:ascii="仿宋_GB2312" w:hAnsi="微软雅黑" w:eastAsia="仿宋_GB2312"/>
          <w:sz w:val="18"/>
          <w:szCs w:val="18"/>
        </w:rPr>
      </w:pPr>
      <w:r>
        <w:rPr>
          <w:rFonts w:ascii="仿宋_GB2312" w:hAnsi="微软雅黑" w:eastAsia="仿宋_GB2312"/>
          <w:sz w:val="18"/>
          <w:szCs w:val="18"/>
        </w:rPr>
        <w:tab/>
      </w:r>
    </w:p>
    <w:p>
      <w:pPr>
        <w:tabs>
          <w:tab w:val="left" w:pos="247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表七、一般公共预算基本支出情况表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W w:w="10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480"/>
        <w:gridCol w:w="3855"/>
        <w:gridCol w:w="1725"/>
        <w:gridCol w:w="1807"/>
        <w:gridCol w:w="1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5341"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经济分类科目</w:t>
            </w:r>
          </w:p>
        </w:tc>
        <w:tc>
          <w:tcPr>
            <w:tcW w:w="5228"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48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科目编码</w:t>
            </w:r>
          </w:p>
        </w:tc>
        <w:tc>
          <w:tcPr>
            <w:tcW w:w="3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科目名称</w:t>
            </w:r>
          </w:p>
        </w:tc>
        <w:tc>
          <w:tcPr>
            <w:tcW w:w="1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合计</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人员经费</w:t>
            </w:r>
          </w:p>
        </w:tc>
        <w:tc>
          <w:tcPr>
            <w:tcW w:w="169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48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3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w:t>
            </w:r>
          </w:p>
        </w:tc>
        <w:tc>
          <w:tcPr>
            <w:tcW w:w="169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482"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18"/>
                <w:szCs w:val="18"/>
                <w:u w:val="none"/>
              </w:rPr>
            </w:pPr>
          </w:p>
        </w:tc>
        <w:tc>
          <w:tcPr>
            <w:tcW w:w="3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合计</w:t>
            </w:r>
          </w:p>
        </w:tc>
        <w:tc>
          <w:tcPr>
            <w:tcW w:w="1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384.39</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361.23</w:t>
            </w:r>
          </w:p>
        </w:tc>
        <w:tc>
          <w:tcPr>
            <w:tcW w:w="169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482"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302</w:t>
            </w:r>
          </w:p>
        </w:tc>
        <w:tc>
          <w:tcPr>
            <w:tcW w:w="3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商品和服务支出</w:t>
            </w:r>
          </w:p>
        </w:tc>
        <w:tc>
          <w:tcPr>
            <w:tcW w:w="17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23.16</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69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482"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30203</w:t>
            </w:r>
          </w:p>
        </w:tc>
        <w:tc>
          <w:tcPr>
            <w:tcW w:w="3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咨询费</w:t>
            </w:r>
          </w:p>
        </w:tc>
        <w:tc>
          <w:tcPr>
            <w:tcW w:w="17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69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482"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30299</w:t>
            </w:r>
          </w:p>
        </w:tc>
        <w:tc>
          <w:tcPr>
            <w:tcW w:w="3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其他商品和服务支出</w:t>
            </w:r>
          </w:p>
        </w:tc>
        <w:tc>
          <w:tcPr>
            <w:tcW w:w="17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4.00</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69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482"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30228</w:t>
            </w:r>
          </w:p>
        </w:tc>
        <w:tc>
          <w:tcPr>
            <w:tcW w:w="3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工会经费</w:t>
            </w:r>
          </w:p>
        </w:tc>
        <w:tc>
          <w:tcPr>
            <w:tcW w:w="17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4.16</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69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482"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30201</w:t>
            </w:r>
          </w:p>
        </w:tc>
        <w:tc>
          <w:tcPr>
            <w:tcW w:w="3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办公费</w:t>
            </w:r>
          </w:p>
        </w:tc>
        <w:tc>
          <w:tcPr>
            <w:tcW w:w="17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7.00</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69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482"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30206</w:t>
            </w:r>
          </w:p>
        </w:tc>
        <w:tc>
          <w:tcPr>
            <w:tcW w:w="3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电费</w:t>
            </w:r>
          </w:p>
        </w:tc>
        <w:tc>
          <w:tcPr>
            <w:tcW w:w="17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7.00</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69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482"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301</w:t>
            </w:r>
          </w:p>
        </w:tc>
        <w:tc>
          <w:tcPr>
            <w:tcW w:w="3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工资福利支出</w:t>
            </w:r>
          </w:p>
        </w:tc>
        <w:tc>
          <w:tcPr>
            <w:tcW w:w="17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361.23</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361.23</w:t>
            </w:r>
          </w:p>
        </w:tc>
        <w:tc>
          <w:tcPr>
            <w:tcW w:w="169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482"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30111</w:t>
            </w:r>
          </w:p>
        </w:tc>
        <w:tc>
          <w:tcPr>
            <w:tcW w:w="3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公务员医疗补助缴费</w:t>
            </w:r>
          </w:p>
        </w:tc>
        <w:tc>
          <w:tcPr>
            <w:tcW w:w="17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3.12</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3.12</w:t>
            </w:r>
          </w:p>
        </w:tc>
        <w:tc>
          <w:tcPr>
            <w:tcW w:w="169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482"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30101</w:t>
            </w:r>
          </w:p>
        </w:tc>
        <w:tc>
          <w:tcPr>
            <w:tcW w:w="3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基本工资</w:t>
            </w:r>
          </w:p>
        </w:tc>
        <w:tc>
          <w:tcPr>
            <w:tcW w:w="17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93.38</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93.38</w:t>
            </w:r>
          </w:p>
        </w:tc>
        <w:tc>
          <w:tcPr>
            <w:tcW w:w="169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482"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30102</w:t>
            </w:r>
          </w:p>
        </w:tc>
        <w:tc>
          <w:tcPr>
            <w:tcW w:w="3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津贴补贴</w:t>
            </w:r>
          </w:p>
        </w:tc>
        <w:tc>
          <w:tcPr>
            <w:tcW w:w="17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131.95</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131.95</w:t>
            </w:r>
          </w:p>
        </w:tc>
        <w:tc>
          <w:tcPr>
            <w:tcW w:w="169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482"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30103</w:t>
            </w:r>
          </w:p>
        </w:tc>
        <w:tc>
          <w:tcPr>
            <w:tcW w:w="3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奖金</w:t>
            </w:r>
          </w:p>
        </w:tc>
        <w:tc>
          <w:tcPr>
            <w:tcW w:w="17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59.30</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59.30</w:t>
            </w:r>
          </w:p>
        </w:tc>
        <w:tc>
          <w:tcPr>
            <w:tcW w:w="169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482"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30112</w:t>
            </w:r>
          </w:p>
        </w:tc>
        <w:tc>
          <w:tcPr>
            <w:tcW w:w="3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其他社会保障缴费</w:t>
            </w:r>
          </w:p>
        </w:tc>
        <w:tc>
          <w:tcPr>
            <w:tcW w:w="17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33.70</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33.70</w:t>
            </w:r>
          </w:p>
        </w:tc>
        <w:tc>
          <w:tcPr>
            <w:tcW w:w="169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482"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30110</w:t>
            </w:r>
          </w:p>
        </w:tc>
        <w:tc>
          <w:tcPr>
            <w:tcW w:w="3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职工基本医疗保险缴费</w:t>
            </w:r>
          </w:p>
        </w:tc>
        <w:tc>
          <w:tcPr>
            <w:tcW w:w="17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14.83</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14.83</w:t>
            </w:r>
          </w:p>
        </w:tc>
        <w:tc>
          <w:tcPr>
            <w:tcW w:w="169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482"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30113</w:t>
            </w:r>
          </w:p>
        </w:tc>
        <w:tc>
          <w:tcPr>
            <w:tcW w:w="3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住房公积金</w:t>
            </w:r>
          </w:p>
        </w:tc>
        <w:tc>
          <w:tcPr>
            <w:tcW w:w="17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24.96</w:t>
            </w:r>
          </w:p>
        </w:tc>
        <w:tc>
          <w:tcPr>
            <w:tcW w:w="18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24.96</w:t>
            </w:r>
          </w:p>
        </w:tc>
        <w:tc>
          <w:tcPr>
            <w:tcW w:w="169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482" w:type="dxa"/>
            <w:tcBorders>
              <w:top w:val="nil"/>
              <w:left w:val="nil"/>
              <w:bottom w:val="nil"/>
              <w:right w:val="nil"/>
            </w:tcBorders>
            <w:shd w:val="clear"/>
            <w:vAlign w:val="center"/>
          </w:tcPr>
          <w:p>
            <w:pPr>
              <w:rPr>
                <w:rFonts w:hint="eastAsia" w:ascii="宋体" w:hAnsi="宋体" w:eastAsia="宋体" w:cs="宋体"/>
                <w:i w:val="0"/>
                <w:iCs w:val="0"/>
                <w:color w:val="000000"/>
                <w:sz w:val="18"/>
                <w:szCs w:val="18"/>
                <w:u w:val="none"/>
              </w:rPr>
            </w:pPr>
          </w:p>
        </w:tc>
        <w:tc>
          <w:tcPr>
            <w:tcW w:w="3859" w:type="dxa"/>
            <w:tcBorders>
              <w:top w:val="nil"/>
              <w:left w:val="nil"/>
              <w:bottom w:val="nil"/>
              <w:right w:val="nil"/>
            </w:tcBorders>
            <w:shd w:val="clear"/>
            <w:vAlign w:val="center"/>
          </w:tcPr>
          <w:p>
            <w:pPr>
              <w:rPr>
                <w:rFonts w:hint="eastAsia" w:ascii="宋体" w:hAnsi="宋体" w:eastAsia="宋体" w:cs="宋体"/>
                <w:i w:val="0"/>
                <w:iCs w:val="0"/>
                <w:color w:val="000000"/>
                <w:sz w:val="18"/>
                <w:szCs w:val="18"/>
                <w:u w:val="none"/>
              </w:rPr>
            </w:pPr>
          </w:p>
        </w:tc>
        <w:tc>
          <w:tcPr>
            <w:tcW w:w="1726" w:type="dxa"/>
            <w:tcBorders>
              <w:top w:val="nil"/>
              <w:left w:val="nil"/>
              <w:bottom w:val="nil"/>
              <w:right w:val="nil"/>
            </w:tcBorders>
            <w:shd w:val="clear"/>
            <w:vAlign w:val="center"/>
          </w:tcPr>
          <w:p>
            <w:pPr>
              <w:rPr>
                <w:rFonts w:hint="eastAsia" w:ascii="宋体" w:hAnsi="宋体" w:eastAsia="宋体" w:cs="宋体"/>
                <w:i w:val="0"/>
                <w:iCs w:val="0"/>
                <w:color w:val="000000"/>
                <w:sz w:val="18"/>
                <w:szCs w:val="18"/>
                <w:u w:val="none"/>
              </w:rPr>
            </w:pPr>
          </w:p>
        </w:tc>
        <w:tc>
          <w:tcPr>
            <w:tcW w:w="1808" w:type="dxa"/>
            <w:tcBorders>
              <w:top w:val="nil"/>
              <w:left w:val="nil"/>
              <w:bottom w:val="nil"/>
              <w:right w:val="nil"/>
            </w:tcBorders>
            <w:shd w:val="clear"/>
            <w:vAlign w:val="center"/>
          </w:tcPr>
          <w:p>
            <w:pPr>
              <w:rPr>
                <w:rFonts w:hint="eastAsia" w:ascii="宋体" w:hAnsi="宋体" w:eastAsia="宋体" w:cs="宋体"/>
                <w:i w:val="0"/>
                <w:iCs w:val="0"/>
                <w:color w:val="000000"/>
                <w:sz w:val="18"/>
                <w:szCs w:val="18"/>
                <w:u w:val="none"/>
              </w:rPr>
            </w:pPr>
          </w:p>
        </w:tc>
        <w:tc>
          <w:tcPr>
            <w:tcW w:w="1694" w:type="dxa"/>
            <w:tcBorders>
              <w:top w:val="nil"/>
              <w:left w:val="nil"/>
              <w:bottom w:val="nil"/>
              <w:right w:val="nil"/>
            </w:tcBorders>
            <w:shd w:val="cle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569" w:type="dxa"/>
            <w:gridSpan w:val="5"/>
            <w:tcBorders>
              <w:top w:val="nil"/>
              <w:left w:val="nil"/>
              <w:bottom w:val="nil"/>
              <w:right w:val="nil"/>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备注：无内容应公开空表并说明情况。</w:t>
            </w:r>
          </w:p>
        </w:tc>
      </w:tr>
    </w:tbl>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1512"/>
        </w:tabs>
        <w:rPr>
          <w:rFonts w:ascii="宋体" w:hAnsi="宋体"/>
          <w:sz w:val="18"/>
          <w:szCs w:val="18"/>
        </w:rPr>
      </w:pPr>
      <w:r>
        <w:rPr>
          <w:rFonts w:ascii="宋体" w:hAnsi="宋体"/>
          <w:sz w:val="18"/>
          <w:szCs w:val="18"/>
        </w:rPr>
        <w:tab/>
      </w:r>
    </w:p>
    <w:p>
      <w:pPr>
        <w:tabs>
          <w:tab w:val="left" w:pos="151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表八、一般公共预算</w:t>
      </w:r>
      <w:r>
        <w:rPr>
          <w:rFonts w:hint="eastAsia" w:ascii="仿宋_GB2312" w:hAnsi="宋体" w:eastAsia="仿宋_GB2312" w:cs="宋体"/>
          <w:bCs/>
          <w:kern w:val="0"/>
          <w:sz w:val="32"/>
          <w:szCs w:val="32"/>
        </w:rPr>
        <w:t>财政拨款</w:t>
      </w:r>
      <w:r>
        <w:rPr>
          <w:rFonts w:hint="eastAsia" w:ascii="仿宋_GB2312" w:hAnsi="宋体" w:eastAsia="仿宋_GB2312" w:cs="宋体"/>
          <w:kern w:val="0"/>
          <w:sz w:val="32"/>
          <w:szCs w:val="32"/>
        </w:rPr>
        <w:t>“三公”经费、会议费、培训费支出情况表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W w:w="158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090"/>
        <w:gridCol w:w="1709"/>
        <w:gridCol w:w="1549"/>
        <w:gridCol w:w="1171"/>
        <w:gridCol w:w="1171"/>
        <w:gridCol w:w="1171"/>
        <w:gridCol w:w="1448"/>
        <w:gridCol w:w="1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6097"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单位名称</w:t>
            </w:r>
          </w:p>
        </w:tc>
        <w:tc>
          <w:tcPr>
            <w:tcW w:w="677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“三公”经费</w:t>
            </w:r>
          </w:p>
        </w:tc>
        <w:tc>
          <w:tcPr>
            <w:tcW w:w="144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会议费</w:t>
            </w:r>
          </w:p>
        </w:tc>
        <w:tc>
          <w:tcPr>
            <w:tcW w:w="1547" w:type="dxa"/>
            <w:vMerge w:val="restar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培训费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6097" w:type="dxa"/>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合计</w:t>
            </w:r>
          </w:p>
        </w:tc>
        <w:tc>
          <w:tcPr>
            <w:tcW w:w="15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因公出国（境）费用</w:t>
            </w:r>
          </w:p>
        </w:tc>
        <w:tc>
          <w:tcPr>
            <w:tcW w:w="117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公务接待费</w:t>
            </w:r>
          </w:p>
        </w:tc>
        <w:tc>
          <w:tcPr>
            <w:tcW w:w="234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公务用车购置和运行费</w:t>
            </w:r>
          </w:p>
        </w:tc>
        <w:tc>
          <w:tcPr>
            <w:tcW w:w="144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47" w:type="dxa"/>
            <w:vMerge w:val="continue"/>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6097" w:type="dxa"/>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公务用车购置费</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公务用车运行费</w:t>
            </w:r>
          </w:p>
        </w:tc>
        <w:tc>
          <w:tcPr>
            <w:tcW w:w="144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47" w:type="dxa"/>
            <w:vMerge w:val="continue"/>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609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合计</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547"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6097"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547"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6097"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47"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869"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备注：无内容应公开空表并说明情况。</w:t>
            </w:r>
          </w:p>
        </w:tc>
      </w:tr>
    </w:tbl>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1812"/>
        </w:tabs>
        <w:rPr>
          <w:rFonts w:ascii="仿宋_GB2312" w:hAnsi="微软雅黑" w:eastAsia="仿宋_GB2312"/>
          <w:sz w:val="18"/>
          <w:szCs w:val="18"/>
        </w:rPr>
      </w:pPr>
      <w:r>
        <w:rPr>
          <w:rFonts w:ascii="仿宋_GB2312" w:hAnsi="微软雅黑" w:eastAsia="仿宋_GB2312"/>
          <w:sz w:val="18"/>
          <w:szCs w:val="18"/>
        </w:rPr>
        <w:tab/>
      </w:r>
    </w:p>
    <w:p>
      <w:pPr>
        <w:tabs>
          <w:tab w:val="left" w:pos="1812"/>
        </w:tabs>
        <w:rPr>
          <w:rFonts w:ascii="仿宋_GB2312" w:hAnsi="微软雅黑" w:eastAsia="仿宋_GB2312"/>
          <w:sz w:val="18"/>
          <w:szCs w:val="18"/>
        </w:rPr>
        <w:sectPr>
          <w:pgSz w:w="16838" w:h="11906" w:orient="landscape"/>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表九、一般公共预算财政拨款机关运行经费表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W w:w="104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71"/>
        <w:gridCol w:w="4017"/>
        <w:gridCol w:w="1675"/>
        <w:gridCol w:w="1789"/>
        <w:gridCol w:w="1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117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序号</w:t>
            </w:r>
          </w:p>
        </w:tc>
        <w:tc>
          <w:tcPr>
            <w:tcW w:w="40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合计</w:t>
            </w:r>
          </w:p>
        </w:tc>
        <w:tc>
          <w:tcPr>
            <w:tcW w:w="17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基本支出</w:t>
            </w:r>
          </w:p>
        </w:tc>
        <w:tc>
          <w:tcPr>
            <w:tcW w:w="177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7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40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w:t>
            </w:r>
          </w:p>
        </w:tc>
        <w:tc>
          <w:tcPr>
            <w:tcW w:w="17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w:t>
            </w:r>
          </w:p>
        </w:tc>
        <w:tc>
          <w:tcPr>
            <w:tcW w:w="177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7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1</w:t>
            </w:r>
          </w:p>
        </w:tc>
        <w:tc>
          <w:tcPr>
            <w:tcW w:w="40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合计</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179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1775"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7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w:t>
            </w:r>
          </w:p>
        </w:tc>
        <w:tc>
          <w:tcPr>
            <w:tcW w:w="402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9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437" w:type="dxa"/>
            <w:gridSpan w:val="5"/>
            <w:tcBorders>
              <w:top w:val="nil"/>
              <w:left w:val="nil"/>
              <w:bottom w:val="nil"/>
              <w:right w:val="nil"/>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备注：无内容应公开空表并说明情况。</w:t>
            </w:r>
          </w:p>
        </w:tc>
      </w:tr>
    </w:tbl>
    <w:p>
      <w:pPr>
        <w:spacing w:line="600" w:lineRule="exact"/>
        <w:jc w:val="both"/>
        <w:rPr>
          <w:rFonts w:hint="eastAsia" w:ascii="仿宋_GB2312" w:hAnsi="宋体" w:eastAsia="仿宋_GB2312" w:cs="宋体"/>
          <w:kern w:val="0"/>
          <w:sz w:val="32"/>
          <w:szCs w:val="32"/>
        </w:rPr>
      </w:pPr>
    </w:p>
    <w:p>
      <w:pPr>
        <w:spacing w:line="600" w:lineRule="exact"/>
        <w:jc w:val="center"/>
        <w:rPr>
          <w:rFonts w:hint="eastAsia" w:ascii="仿宋_GB2312" w:hAnsi="宋体" w:eastAsia="仿宋_GB2312" w:cs="宋体"/>
          <w:kern w:val="0"/>
          <w:sz w:val="32"/>
          <w:szCs w:val="32"/>
        </w:rPr>
      </w:pPr>
    </w:p>
    <w:p>
      <w:pPr>
        <w:spacing w:line="600" w:lineRule="exact"/>
        <w:jc w:val="center"/>
        <w:rPr>
          <w:rFonts w:hint="eastAsia" w:ascii="仿宋_GB2312" w:hAnsi="宋体" w:eastAsia="仿宋_GB2312" w:cs="宋体"/>
          <w:kern w:val="0"/>
          <w:sz w:val="32"/>
          <w:szCs w:val="32"/>
        </w:rPr>
      </w:pPr>
    </w:p>
    <w:p>
      <w:pPr>
        <w:spacing w:line="600" w:lineRule="exact"/>
        <w:jc w:val="center"/>
        <w:rPr>
          <w:rFonts w:hint="eastAsia" w:ascii="仿宋_GB2312" w:hAnsi="宋体" w:eastAsia="仿宋_GB2312" w:cs="宋体"/>
          <w:kern w:val="0"/>
          <w:sz w:val="32"/>
          <w:szCs w:val="32"/>
        </w:rPr>
      </w:pPr>
    </w:p>
    <w:p>
      <w:pPr>
        <w:spacing w:line="600" w:lineRule="exact"/>
        <w:jc w:val="center"/>
        <w:rPr>
          <w:rFonts w:hint="eastAsia" w:ascii="仿宋_GB2312" w:hAnsi="宋体" w:eastAsia="仿宋_GB2312" w:cs="宋体"/>
          <w:kern w:val="0"/>
          <w:sz w:val="32"/>
          <w:szCs w:val="32"/>
        </w:rPr>
      </w:pPr>
    </w:p>
    <w:p>
      <w:pPr>
        <w:spacing w:line="600" w:lineRule="exact"/>
        <w:jc w:val="center"/>
        <w:rPr>
          <w:rFonts w:hint="eastAsia" w:ascii="仿宋_GB2312" w:hAnsi="宋体" w:eastAsia="仿宋_GB2312" w:cs="宋体"/>
          <w:kern w:val="0"/>
          <w:sz w:val="32"/>
          <w:szCs w:val="32"/>
        </w:rPr>
      </w:pPr>
    </w:p>
    <w:p>
      <w:pPr>
        <w:spacing w:line="600" w:lineRule="exact"/>
        <w:jc w:val="center"/>
        <w:rPr>
          <w:rFonts w:hint="eastAsia" w:ascii="仿宋_GB2312" w:hAnsi="宋体" w:eastAsia="仿宋_GB2312" w:cs="宋体"/>
          <w:kern w:val="0"/>
          <w:sz w:val="32"/>
          <w:szCs w:val="32"/>
        </w:rPr>
      </w:pPr>
    </w:p>
    <w:p>
      <w:pPr>
        <w:spacing w:line="600" w:lineRule="exact"/>
        <w:jc w:val="center"/>
        <w:rPr>
          <w:rFonts w:hint="eastAsia" w:ascii="仿宋_GB2312" w:hAnsi="宋体" w:eastAsia="仿宋_GB2312" w:cs="宋体"/>
          <w:kern w:val="0"/>
          <w:sz w:val="32"/>
          <w:szCs w:val="32"/>
        </w:rPr>
      </w:pPr>
    </w:p>
    <w:p>
      <w:pPr>
        <w:spacing w:line="600" w:lineRule="exact"/>
        <w:jc w:val="center"/>
        <w:rPr>
          <w:rFonts w:hint="eastAsia" w:ascii="仿宋_GB2312" w:hAnsi="宋体" w:eastAsia="仿宋_GB2312" w:cs="宋体"/>
          <w:kern w:val="0"/>
          <w:sz w:val="32"/>
          <w:szCs w:val="32"/>
        </w:rPr>
      </w:pPr>
    </w:p>
    <w:p>
      <w:pPr>
        <w:spacing w:line="600" w:lineRule="exact"/>
        <w:jc w:val="center"/>
        <w:rPr>
          <w:rFonts w:hint="eastAsia" w:ascii="仿宋_GB2312" w:hAnsi="宋体" w:eastAsia="仿宋_GB2312" w:cs="宋体"/>
          <w:kern w:val="0"/>
          <w:sz w:val="32"/>
          <w:szCs w:val="32"/>
        </w:rPr>
      </w:pPr>
    </w:p>
    <w:p>
      <w:pPr>
        <w:spacing w:line="600" w:lineRule="exact"/>
        <w:jc w:val="center"/>
        <w:rPr>
          <w:rFonts w:hint="eastAsia" w:ascii="仿宋_GB2312" w:hAnsi="宋体" w:eastAsia="仿宋_GB2312" w:cs="宋体"/>
          <w:kern w:val="0"/>
          <w:sz w:val="32"/>
          <w:szCs w:val="32"/>
        </w:rPr>
      </w:pPr>
    </w:p>
    <w:p>
      <w:pPr>
        <w:spacing w:line="600" w:lineRule="exact"/>
        <w:jc w:val="center"/>
        <w:rPr>
          <w:rFonts w:hint="eastAsia" w:ascii="仿宋_GB2312" w:hAnsi="宋体" w:eastAsia="仿宋_GB2312" w:cs="宋体"/>
          <w:kern w:val="0"/>
          <w:sz w:val="32"/>
          <w:szCs w:val="32"/>
        </w:rPr>
      </w:pPr>
    </w:p>
    <w:p>
      <w:pPr>
        <w:spacing w:line="600" w:lineRule="exact"/>
        <w:jc w:val="center"/>
        <w:rPr>
          <w:rFonts w:hint="eastAsia" w:ascii="仿宋_GB2312" w:hAnsi="宋体" w:eastAsia="仿宋_GB2312" w:cs="宋体"/>
          <w:kern w:val="0"/>
          <w:sz w:val="32"/>
          <w:szCs w:val="32"/>
        </w:rPr>
      </w:pPr>
    </w:p>
    <w:p>
      <w:pPr>
        <w:spacing w:line="600" w:lineRule="exact"/>
        <w:jc w:val="center"/>
        <w:rPr>
          <w:rFonts w:hint="eastAsia" w:ascii="仿宋_GB2312" w:hAnsi="宋体" w:eastAsia="仿宋_GB2312" w:cs="宋体"/>
          <w:kern w:val="0"/>
          <w:sz w:val="32"/>
          <w:szCs w:val="32"/>
        </w:rPr>
      </w:pPr>
    </w:p>
    <w:p>
      <w:pPr>
        <w:spacing w:line="600" w:lineRule="exact"/>
        <w:jc w:val="center"/>
        <w:rPr>
          <w:rFonts w:hint="eastAsia" w:ascii="仿宋_GB2312" w:hAnsi="宋体" w:eastAsia="仿宋_GB2312" w:cs="宋体"/>
          <w:kern w:val="0"/>
          <w:sz w:val="32"/>
          <w:szCs w:val="32"/>
        </w:rPr>
      </w:pPr>
    </w:p>
    <w:p>
      <w:pPr>
        <w:spacing w:line="600" w:lineRule="exact"/>
        <w:jc w:val="center"/>
        <w:rPr>
          <w:rFonts w:hint="eastAsia" w:ascii="仿宋_GB2312" w:hAnsi="宋体" w:eastAsia="仿宋_GB2312" w:cs="宋体"/>
          <w:kern w:val="0"/>
          <w:sz w:val="32"/>
          <w:szCs w:val="32"/>
        </w:rPr>
      </w:pPr>
    </w:p>
    <w:p>
      <w:pPr>
        <w:spacing w:line="600" w:lineRule="exact"/>
        <w:jc w:val="center"/>
        <w:rPr>
          <w:rFonts w:hint="eastAsia" w:ascii="仿宋_GB2312" w:hAnsi="宋体" w:eastAsia="仿宋_GB2312" w:cs="宋体"/>
          <w:kern w:val="0"/>
          <w:sz w:val="32"/>
          <w:szCs w:val="32"/>
        </w:rPr>
      </w:pPr>
    </w:p>
    <w:p>
      <w:pPr>
        <w:spacing w:line="600" w:lineRule="exact"/>
        <w:jc w:val="center"/>
        <w:rPr>
          <w:rFonts w:ascii="仿宋_GB2312" w:hAnsi="宋体" w:eastAsia="仿宋_GB2312" w:cs="宋体"/>
          <w:kern w:val="0"/>
          <w:sz w:val="32"/>
          <w:szCs w:val="32"/>
        </w:rPr>
      </w:pPr>
      <w:bookmarkStart w:id="0" w:name="_GoBack"/>
      <w:bookmarkEnd w:id="0"/>
      <w:r>
        <w:rPr>
          <w:rFonts w:hint="eastAsia" w:ascii="仿宋_GB2312" w:hAnsi="宋体" w:eastAsia="仿宋_GB2312" w:cs="宋体"/>
          <w:kern w:val="0"/>
          <w:sz w:val="32"/>
          <w:szCs w:val="32"/>
        </w:rPr>
        <w:t>表十、政府性基金预算支出情况表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498" w:type="dxa"/>
        <w:tblInd w:w="108" w:type="dxa"/>
        <w:tblLayout w:type="autofit"/>
        <w:tblCellMar>
          <w:top w:w="0" w:type="dxa"/>
          <w:left w:w="108" w:type="dxa"/>
          <w:bottom w:w="0" w:type="dxa"/>
          <w:right w:w="108" w:type="dxa"/>
        </w:tblCellMar>
      </w:tblPr>
      <w:tblGrid>
        <w:gridCol w:w="7655"/>
        <w:gridCol w:w="1843"/>
      </w:tblGrid>
      <w:tr>
        <w:tblPrEx>
          <w:tblCellMar>
            <w:top w:w="0" w:type="dxa"/>
            <w:left w:w="108" w:type="dxa"/>
            <w:bottom w:w="0" w:type="dxa"/>
            <w:right w:w="108" w:type="dxa"/>
          </w:tblCellMar>
        </w:tblPrEx>
        <w:trPr>
          <w:trHeight w:val="312" w:hRule="atLeast"/>
          <w:tblHeader/>
        </w:trPr>
        <w:tc>
          <w:tcPr>
            <w:tcW w:w="7655" w:type="dxa"/>
            <w:vMerge w:val="restart"/>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项目</w:t>
            </w:r>
          </w:p>
        </w:tc>
        <w:tc>
          <w:tcPr>
            <w:tcW w:w="184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预算数</w:t>
            </w:r>
          </w:p>
        </w:tc>
      </w:tr>
      <w:tr>
        <w:tblPrEx>
          <w:tblCellMar>
            <w:top w:w="0" w:type="dxa"/>
            <w:left w:w="108" w:type="dxa"/>
            <w:bottom w:w="0" w:type="dxa"/>
            <w:right w:w="108" w:type="dxa"/>
          </w:tblCellMar>
        </w:tblPrEx>
        <w:trPr>
          <w:trHeight w:val="312" w:hRule="atLeast"/>
          <w:tblHeader/>
        </w:trPr>
        <w:tc>
          <w:tcPr>
            <w:tcW w:w="7655" w:type="dxa"/>
            <w:vMerge w:val="continue"/>
            <w:tcBorders>
              <w:top w:val="single" w:color="000000" w:sz="4" w:space="0"/>
              <w:left w:val="nil"/>
              <w:bottom w:val="single" w:color="000000" w:sz="4" w:space="0"/>
              <w:right w:val="nil"/>
            </w:tcBorders>
            <w:vAlign w:val="center"/>
          </w:tcPr>
          <w:p>
            <w:pPr>
              <w:widowControl/>
              <w:jc w:val="left"/>
              <w:rPr>
                <w:rFonts w:ascii="宋体" w:hAnsi="宋体" w:cs="Arial"/>
                <w:b/>
                <w:bCs/>
                <w:color w:val="000000"/>
                <w:kern w:val="0"/>
                <w:sz w:val="20"/>
                <w:szCs w:val="20"/>
              </w:rPr>
            </w:pPr>
          </w:p>
        </w:tc>
        <w:tc>
          <w:tcPr>
            <w:tcW w:w="1843"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Arial"/>
                <w:b/>
                <w:bCs/>
                <w:color w:val="000000"/>
                <w:kern w:val="0"/>
                <w:sz w:val="20"/>
                <w:szCs w:val="20"/>
              </w:rPr>
            </w:pPr>
          </w:p>
        </w:tc>
      </w:tr>
      <w:tr>
        <w:tblPrEx>
          <w:tblCellMar>
            <w:top w:w="0" w:type="dxa"/>
            <w:left w:w="108" w:type="dxa"/>
            <w:bottom w:w="0" w:type="dxa"/>
            <w:right w:w="108" w:type="dxa"/>
          </w:tblCellMar>
        </w:tblPrEx>
        <w:trPr>
          <w:trHeight w:val="312" w:hRule="atLeast"/>
          <w:tblHeader/>
        </w:trPr>
        <w:tc>
          <w:tcPr>
            <w:tcW w:w="7655" w:type="dxa"/>
            <w:tcBorders>
              <w:top w:val="single" w:color="000000" w:sz="4" w:space="0"/>
              <w:left w:val="nil"/>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color w:val="000000"/>
                <w:kern w:val="0"/>
                <w:sz w:val="18"/>
                <w:szCs w:val="18"/>
              </w:rPr>
              <w:t>**</w:t>
            </w:r>
          </w:p>
        </w:tc>
        <w:tc>
          <w:tcPr>
            <w:tcW w:w="1843"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1</w:t>
            </w: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ascii="宋体" w:hAnsi="宋体"/>
                <w:b/>
                <w:sz w:val="18"/>
                <w:szCs w:val="18"/>
              </w:rPr>
              <w:t>总计</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表十</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、国有资本经营预算支出情况表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498" w:type="dxa"/>
        <w:tblInd w:w="108" w:type="dxa"/>
        <w:tblLayout w:type="autofit"/>
        <w:tblCellMar>
          <w:top w:w="0" w:type="dxa"/>
          <w:left w:w="108" w:type="dxa"/>
          <w:bottom w:w="0" w:type="dxa"/>
          <w:right w:w="108" w:type="dxa"/>
        </w:tblCellMar>
      </w:tblPr>
      <w:tblGrid>
        <w:gridCol w:w="7655"/>
        <w:gridCol w:w="1843"/>
      </w:tblGrid>
      <w:tr>
        <w:tblPrEx>
          <w:tblCellMar>
            <w:top w:w="0" w:type="dxa"/>
            <w:left w:w="108" w:type="dxa"/>
            <w:bottom w:w="0" w:type="dxa"/>
            <w:right w:w="108" w:type="dxa"/>
          </w:tblCellMar>
        </w:tblPrEx>
        <w:trPr>
          <w:trHeight w:val="312" w:hRule="atLeast"/>
          <w:tblHeader/>
        </w:trPr>
        <w:tc>
          <w:tcPr>
            <w:tcW w:w="7655" w:type="dxa"/>
            <w:vMerge w:val="restart"/>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项目</w:t>
            </w:r>
          </w:p>
        </w:tc>
        <w:tc>
          <w:tcPr>
            <w:tcW w:w="184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预算数</w:t>
            </w:r>
          </w:p>
        </w:tc>
      </w:tr>
      <w:tr>
        <w:tblPrEx>
          <w:tblCellMar>
            <w:top w:w="0" w:type="dxa"/>
            <w:left w:w="108" w:type="dxa"/>
            <w:bottom w:w="0" w:type="dxa"/>
            <w:right w:w="108" w:type="dxa"/>
          </w:tblCellMar>
        </w:tblPrEx>
        <w:trPr>
          <w:trHeight w:val="312" w:hRule="atLeast"/>
          <w:tblHeader/>
        </w:trPr>
        <w:tc>
          <w:tcPr>
            <w:tcW w:w="7655" w:type="dxa"/>
            <w:vMerge w:val="continue"/>
            <w:tcBorders>
              <w:top w:val="single" w:color="000000" w:sz="4" w:space="0"/>
              <w:left w:val="nil"/>
              <w:bottom w:val="single" w:color="000000" w:sz="4" w:space="0"/>
              <w:right w:val="nil"/>
            </w:tcBorders>
            <w:vAlign w:val="center"/>
          </w:tcPr>
          <w:p>
            <w:pPr>
              <w:widowControl/>
              <w:jc w:val="left"/>
              <w:rPr>
                <w:rFonts w:ascii="宋体" w:hAnsi="宋体" w:cs="Arial"/>
                <w:b/>
                <w:bCs/>
                <w:color w:val="000000"/>
                <w:kern w:val="0"/>
                <w:sz w:val="20"/>
                <w:szCs w:val="20"/>
              </w:rPr>
            </w:pPr>
          </w:p>
        </w:tc>
        <w:tc>
          <w:tcPr>
            <w:tcW w:w="1843"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Arial"/>
                <w:b/>
                <w:bCs/>
                <w:color w:val="000000"/>
                <w:kern w:val="0"/>
                <w:sz w:val="20"/>
                <w:szCs w:val="20"/>
              </w:rPr>
            </w:pPr>
          </w:p>
        </w:tc>
      </w:tr>
      <w:tr>
        <w:tblPrEx>
          <w:tblCellMar>
            <w:top w:w="0" w:type="dxa"/>
            <w:left w:w="108" w:type="dxa"/>
            <w:bottom w:w="0" w:type="dxa"/>
            <w:right w:w="108" w:type="dxa"/>
          </w:tblCellMar>
        </w:tblPrEx>
        <w:trPr>
          <w:trHeight w:val="312" w:hRule="atLeast"/>
          <w:tblHeader/>
        </w:trPr>
        <w:tc>
          <w:tcPr>
            <w:tcW w:w="7655" w:type="dxa"/>
            <w:tcBorders>
              <w:top w:val="single" w:color="000000" w:sz="4" w:space="0"/>
              <w:left w:val="nil"/>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color w:val="000000"/>
                <w:kern w:val="0"/>
                <w:sz w:val="18"/>
                <w:szCs w:val="18"/>
              </w:rPr>
              <w:t>**</w:t>
            </w:r>
          </w:p>
        </w:tc>
        <w:tc>
          <w:tcPr>
            <w:tcW w:w="1843"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1</w:t>
            </w: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ascii="宋体" w:hAnsi="宋体"/>
                <w:b/>
                <w:sz w:val="18"/>
                <w:szCs w:val="18"/>
              </w:rPr>
              <w:t>总计</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360" w:lineRule="exact"/>
        <w:rPr>
          <w:rFonts w:ascii="黑体" w:eastAsia="黑体"/>
          <w:sz w:val="30"/>
          <w:szCs w:val="30"/>
        </w:rPr>
      </w:pPr>
      <w:r>
        <w:rPr>
          <w:rFonts w:hint="eastAsia" w:ascii="黑体" w:eastAsia="黑体"/>
          <w:sz w:val="30"/>
          <w:szCs w:val="30"/>
        </w:rPr>
        <w:t>附件2</w:t>
      </w:r>
    </w:p>
    <w:p>
      <w:pPr>
        <w:spacing w:line="560" w:lineRule="exact"/>
        <w:jc w:val="center"/>
        <w:rPr>
          <w:rFonts w:ascii="仿宋_GB2312" w:eastAsia="仿宋_GB2312"/>
          <w:b/>
          <w:sz w:val="28"/>
          <w:szCs w:val="28"/>
        </w:rPr>
      </w:pPr>
      <w:r>
        <w:rPr>
          <w:rFonts w:hint="eastAsia" w:ascii="仿宋_GB2312" w:eastAsia="仿宋_GB2312"/>
          <w:b/>
          <w:sz w:val="28"/>
          <w:szCs w:val="28"/>
        </w:rPr>
        <w:t>部门/单位整体支出绩效目标表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8740" w:type="dxa"/>
        <w:jc w:val="center"/>
        <w:tblLayout w:type="fixed"/>
        <w:tblCellMar>
          <w:top w:w="0" w:type="dxa"/>
          <w:left w:w="108" w:type="dxa"/>
          <w:bottom w:w="0" w:type="dxa"/>
          <w:right w:w="108" w:type="dxa"/>
        </w:tblCellMar>
      </w:tblPr>
      <w:tblGrid>
        <w:gridCol w:w="639"/>
        <w:gridCol w:w="1625"/>
        <w:gridCol w:w="846"/>
        <w:gridCol w:w="817"/>
        <w:gridCol w:w="1537"/>
        <w:gridCol w:w="1738"/>
        <w:gridCol w:w="1538"/>
      </w:tblGrid>
      <w:tr>
        <w:tblPrEx>
          <w:tblCellMar>
            <w:top w:w="0" w:type="dxa"/>
            <w:left w:w="108" w:type="dxa"/>
            <w:bottom w:w="0" w:type="dxa"/>
            <w:right w:w="108" w:type="dxa"/>
          </w:tblCellMar>
        </w:tblPrEx>
        <w:trPr>
          <w:cantSplit/>
          <w:trHeight w:val="20" w:hRule="atLeast"/>
          <w:jc w:val="center"/>
        </w:trPr>
        <w:tc>
          <w:tcPr>
            <w:tcW w:w="3110" w:type="dxa"/>
            <w:gridSpan w:val="3"/>
            <w:tcBorders>
              <w:top w:val="single" w:color="000000" w:sz="6" w:space="0"/>
              <w:left w:val="nil"/>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部门（单位）名称</w:t>
            </w:r>
          </w:p>
        </w:tc>
        <w:tc>
          <w:tcPr>
            <w:tcW w:w="5630" w:type="dxa"/>
            <w:gridSpan w:val="4"/>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1866" w:hRule="atLeast"/>
          <w:jc w:val="center"/>
        </w:trPr>
        <w:tc>
          <w:tcPr>
            <w:tcW w:w="639" w:type="dxa"/>
            <w:tcBorders>
              <w:top w:val="single" w:color="000000" w:sz="6" w:space="0"/>
              <w:left w:val="nil"/>
              <w:bottom w:val="single" w:color="000000" w:sz="6" w:space="0"/>
              <w:right w:val="single" w:color="000000" w:sz="6" w:space="0"/>
              <w:tl2br w:val="nil"/>
              <w:tr2bl w:val="nil"/>
            </w:tcBorders>
            <w:textDirection w:val="tbLrV"/>
            <w:vAlign w:val="center"/>
          </w:tcPr>
          <w:p>
            <w:pPr>
              <w:ind w:left="113" w:right="113"/>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总 体 目 标</w:t>
            </w:r>
          </w:p>
        </w:tc>
        <w:tc>
          <w:tcPr>
            <w:tcW w:w="8101" w:type="dxa"/>
            <w:gridSpan w:val="6"/>
            <w:tcBorders>
              <w:top w:val="single" w:color="000000" w:sz="6" w:space="0"/>
              <w:left w:val="single" w:color="000000" w:sz="6" w:space="0"/>
              <w:bottom w:val="single" w:color="000000" w:sz="6" w:space="0"/>
              <w:right w:val="nil"/>
              <w:tl2br w:val="nil"/>
              <w:tr2bl w:val="nil"/>
            </w:tcBorders>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w:t>
            </w:r>
          </w:p>
          <w:p>
            <w:pPr>
              <w:widowControl/>
              <w:spacing w:line="360" w:lineRule="exact"/>
              <w:jc w:val="left"/>
              <w:rPr>
                <w:rFonts w:asciiTheme="minorEastAsia" w:hAnsiTheme="minorEastAsia" w:eastAsiaTheme="minorEastAsia"/>
                <w:color w:val="000000"/>
                <w:sz w:val="18"/>
                <w:szCs w:val="18"/>
              </w:rPr>
            </w:pPr>
            <w:r>
              <w:rPr>
                <w:rFonts w:hint="eastAsia" w:cs="宋体" w:asciiTheme="minorEastAsia" w:hAnsiTheme="minorEastAsia" w:eastAsiaTheme="minorEastAsia"/>
                <w:kern w:val="0"/>
                <w:sz w:val="18"/>
                <w:szCs w:val="18"/>
              </w:rPr>
              <w:t>目标3：</w:t>
            </w:r>
          </w:p>
        </w:tc>
      </w:tr>
      <w:tr>
        <w:tblPrEx>
          <w:tblCellMar>
            <w:top w:w="0" w:type="dxa"/>
            <w:left w:w="108" w:type="dxa"/>
            <w:bottom w:w="0" w:type="dxa"/>
            <w:right w:w="108" w:type="dxa"/>
          </w:tblCellMar>
        </w:tblPrEx>
        <w:trPr>
          <w:cantSplit/>
          <w:trHeight w:val="20" w:hRule="atLeast"/>
          <w:jc w:val="center"/>
        </w:trPr>
        <w:tc>
          <w:tcPr>
            <w:tcW w:w="639" w:type="dxa"/>
            <w:vMerge w:val="restart"/>
            <w:tcBorders>
              <w:top w:val="single" w:color="000000" w:sz="6" w:space="0"/>
              <w:left w:val="nil"/>
              <w:right w:val="single" w:color="000000" w:sz="6" w:space="0"/>
              <w:tl2br w:val="nil"/>
              <w:tr2bl w:val="nil"/>
            </w:tcBorders>
            <w:textDirection w:val="tbLrV"/>
            <w:vAlign w:val="center"/>
          </w:tcPr>
          <w:p>
            <w:pPr>
              <w:ind w:left="113" w:right="113"/>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 算 情 况（万元）</w:t>
            </w:r>
          </w:p>
        </w:tc>
        <w:tc>
          <w:tcPr>
            <w:tcW w:w="3288" w:type="dxa"/>
            <w:gridSpan w:val="3"/>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按支出类型分</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预算金额</w:t>
            </w: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按来源类型分</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预算金额</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基本支出</w:t>
            </w: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人员经费</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当年财政拨款</w:t>
            </w:r>
          </w:p>
        </w:tc>
        <w:tc>
          <w:tcPr>
            <w:tcW w:w="1538" w:type="dxa"/>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continue"/>
            <w:tcBorders>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公用经费</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上年结转资金</w:t>
            </w:r>
          </w:p>
        </w:tc>
        <w:tc>
          <w:tcPr>
            <w:tcW w:w="1538" w:type="dxa"/>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合计</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其他资金</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3288" w:type="dxa"/>
            <w:gridSpan w:val="3"/>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项目支出</w:t>
            </w:r>
          </w:p>
        </w:tc>
        <w:tc>
          <w:tcPr>
            <w:tcW w:w="1537" w:type="dxa"/>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收入预算合计</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3288" w:type="dxa"/>
            <w:gridSpan w:val="3"/>
            <w:vMerge w:val="continue"/>
            <w:tcBorders>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537"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支出预算合计</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restart"/>
            <w:tcBorders>
              <w:top w:val="single" w:color="000000" w:sz="6" w:space="0"/>
              <w:left w:val="nil"/>
              <w:right w:val="single" w:color="000000" w:sz="6" w:space="0"/>
            </w:tcBorders>
            <w:textDirection w:val="tbLrV"/>
            <w:vAlign w:val="center"/>
          </w:tcPr>
          <w:p>
            <w:pPr>
              <w:ind w:left="113" w:right="113"/>
              <w:jc w:val="center"/>
              <w:rPr>
                <w:rFonts w:asciiTheme="minorEastAsia" w:hAnsiTheme="minorEastAsia" w:eastAsiaTheme="minorEastAsia"/>
                <w:bCs/>
                <w:color w:val="000000"/>
                <w:sz w:val="18"/>
                <w:szCs w:val="18"/>
              </w:rPr>
            </w:pPr>
            <w:r>
              <w:rPr>
                <w:rFonts w:hint="eastAsia" w:cs="宋体" w:asciiTheme="minorEastAsia" w:hAnsiTheme="minorEastAsia" w:eastAsiaTheme="minorEastAsia"/>
                <w:bCs/>
                <w:kern w:val="0"/>
                <w:sz w:val="18"/>
                <w:szCs w:val="18"/>
              </w:rPr>
              <w:t>绩 效 指 标</w:t>
            </w:r>
          </w:p>
        </w:tc>
        <w:tc>
          <w:tcPr>
            <w:tcW w:w="1625"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一级指标</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二级指标</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三级指标</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指标值</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部门管理</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履职效果</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能力建设</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left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25"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bCs/>
                <w:color w:val="000000"/>
                <w:sz w:val="18"/>
                <w:szCs w:val="18"/>
              </w:rPr>
            </w:pPr>
          </w:p>
        </w:tc>
      </w:tr>
    </w:tbl>
    <w:p/>
    <w:p>
      <w:pPr>
        <w:spacing w:line="560" w:lineRule="exact"/>
        <w:jc w:val="center"/>
        <w:rPr>
          <w:rFonts w:ascii="仿宋_GB2312" w:eastAsia="仿宋_GB2312"/>
          <w:b/>
          <w:sz w:val="28"/>
          <w:szCs w:val="28"/>
        </w:rPr>
      </w:pPr>
      <w:r>
        <w:rPr>
          <w:rFonts w:ascii="仿宋_GB2312" w:eastAsia="仿宋_GB2312"/>
          <w:b/>
          <w:sz w:val="28"/>
          <w:szCs w:val="28"/>
        </w:rPr>
        <w:br w:type="page"/>
      </w:r>
      <w:r>
        <w:rPr>
          <w:rFonts w:hint="eastAsia" w:ascii="仿宋_GB2312" w:eastAsia="仿宋_GB2312"/>
          <w:b/>
          <w:sz w:val="28"/>
          <w:szCs w:val="28"/>
        </w:rPr>
        <w:t>项目支出绩效目标表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5291"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548"/>
        <w:gridCol w:w="108"/>
        <w:gridCol w:w="2782"/>
        <w:gridCol w:w="544"/>
        <w:gridCol w:w="1497"/>
        <w:gridCol w:w="774"/>
        <w:gridCol w:w="25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项目名称</w:t>
            </w:r>
          </w:p>
        </w:tc>
        <w:tc>
          <w:tcPr>
            <w:tcW w:w="3943" w:type="pct"/>
            <w:gridSpan w:val="6"/>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主管部门及</w:t>
            </w:r>
            <w:r>
              <w:rPr>
                <w:rFonts w:cs="宋体" w:asciiTheme="minorEastAsia" w:hAnsiTheme="minorEastAsia" w:eastAsiaTheme="minorEastAsia"/>
                <w:kern w:val="0"/>
                <w:sz w:val="18"/>
                <w:szCs w:val="18"/>
              </w:rPr>
              <w:t>代码</w:t>
            </w:r>
          </w:p>
        </w:tc>
        <w:tc>
          <w:tcPr>
            <w:tcW w:w="1647" w:type="pct"/>
            <w:gridSpan w:val="3"/>
            <w:vAlign w:val="center"/>
          </w:tcPr>
          <w:p>
            <w:pPr>
              <w:widowControl/>
              <w:spacing w:line="360" w:lineRule="exact"/>
              <w:jc w:val="center"/>
              <w:rPr>
                <w:rFonts w:cs="宋体" w:asciiTheme="minorEastAsia" w:hAnsiTheme="minorEastAsia" w:eastAsiaTheme="minorEastAsia"/>
                <w:kern w:val="0"/>
                <w:sz w:val="18"/>
                <w:szCs w:val="18"/>
              </w:rPr>
            </w:pPr>
          </w:p>
        </w:tc>
        <w:tc>
          <w:tcPr>
            <w:tcW w:w="1089"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实施单位</w:t>
            </w:r>
          </w:p>
        </w:tc>
        <w:tc>
          <w:tcPr>
            <w:tcW w:w="1207" w:type="pct"/>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项目资金</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（万元）</w:t>
            </w:r>
          </w:p>
        </w:tc>
        <w:tc>
          <w:tcPr>
            <w:tcW w:w="1647" w:type="pct"/>
            <w:gridSpan w:val="3"/>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年度资金总额：</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360" w:firstLineChars="2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当年</w:t>
            </w:r>
            <w:r>
              <w:rPr>
                <w:rFonts w:cs="宋体" w:asciiTheme="minorEastAsia" w:hAnsiTheme="minorEastAsia" w:eastAsiaTheme="minorEastAsia"/>
                <w:kern w:val="0"/>
                <w:sz w:val="18"/>
                <w:szCs w:val="18"/>
              </w:rPr>
              <w:t>财政拨款</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上年结转资金</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其他资金</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Align w:val="center"/>
          </w:tcPr>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总</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体</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标</w:t>
            </w:r>
          </w:p>
        </w:tc>
        <w:tc>
          <w:tcPr>
            <w:tcW w:w="4685" w:type="pct"/>
            <w:gridSpan w:val="7"/>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15" w:type="pct"/>
            <w:vMerge w:val="restar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绩效指标</w:t>
            </w:r>
          </w:p>
        </w:tc>
        <w:tc>
          <w:tcPr>
            <w:tcW w:w="794"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一级指标</w:t>
            </w:r>
          </w:p>
        </w:tc>
        <w:tc>
          <w:tcPr>
            <w:tcW w:w="1334"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二级指标</w:t>
            </w:r>
          </w:p>
        </w:tc>
        <w:tc>
          <w:tcPr>
            <w:tcW w:w="979"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三级指标</w:t>
            </w:r>
          </w:p>
        </w:tc>
        <w:tc>
          <w:tcPr>
            <w:tcW w:w="1578"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指标值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成本指标</w:t>
            </w:r>
          </w:p>
        </w:tc>
        <w:tc>
          <w:tcPr>
            <w:tcW w:w="1334" w:type="pct"/>
            <w:vAlign w:val="center"/>
          </w:tcPr>
          <w:p>
            <w:pPr>
              <w:widowControl/>
              <w:spacing w:line="360" w:lineRule="exact"/>
              <w:jc w:val="center"/>
              <w:rPr>
                <w:rFonts w:cs="宋体" w:asciiTheme="minorEastAsia" w:hAnsiTheme="minorEastAsia" w:eastAsiaTheme="minorEastAsia"/>
                <w:bCs/>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产出指标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效益指标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b/>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bl>
    <w:p>
      <w:pPr>
        <w:tabs>
          <w:tab w:val="left" w:pos="1848"/>
        </w:tabs>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BoldMT">
    <w:altName w:val="Times New Roman"/>
    <w:panose1 w:val="00000000000000000000"/>
    <w:charset w:val="00"/>
    <w:family w:val="roman"/>
    <w:pitch w:val="default"/>
    <w:sig w:usb0="00000000" w:usb1="00000000" w:usb2="00000000" w:usb3="00000000" w:csb0="00000000" w:csb1="00000000"/>
  </w:font>
  <w:font w:name="CIDFont+F6">
    <w:altName w:val="Times New Roman"/>
    <w:panose1 w:val="00000000000000000000"/>
    <w:charset w:val="00"/>
    <w:family w:val="roman"/>
    <w:pitch w:val="default"/>
    <w:sig w:usb0="00000000" w:usb1="00000000" w:usb2="00000000" w:usb3="00000000" w:csb0="00000000" w:csb1="00000000"/>
  </w:font>
  <w:font w:name="CIDFont+F4">
    <w:altName w:val="Times New Roman"/>
    <w:panose1 w:val="00000000000000000000"/>
    <w:charset w:val="00"/>
    <w:family w:val="roman"/>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27</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yYWQ3NzZlY2QyOTk1OTY0NWU2NWI4MDAzMzdjNzMifQ=="/>
  </w:docVars>
  <w:rsids>
    <w:rsidRoot w:val="00FB4362"/>
    <w:rsid w:val="00000C55"/>
    <w:rsid w:val="00001446"/>
    <w:rsid w:val="0001130C"/>
    <w:rsid w:val="00011F27"/>
    <w:rsid w:val="00012457"/>
    <w:rsid w:val="00021BBF"/>
    <w:rsid w:val="00030443"/>
    <w:rsid w:val="00030F4C"/>
    <w:rsid w:val="0003278A"/>
    <w:rsid w:val="000368FE"/>
    <w:rsid w:val="00042A06"/>
    <w:rsid w:val="00043601"/>
    <w:rsid w:val="000442B5"/>
    <w:rsid w:val="0004639D"/>
    <w:rsid w:val="000465E2"/>
    <w:rsid w:val="0005161F"/>
    <w:rsid w:val="000547D1"/>
    <w:rsid w:val="00055759"/>
    <w:rsid w:val="000612EE"/>
    <w:rsid w:val="00061BAF"/>
    <w:rsid w:val="0006337D"/>
    <w:rsid w:val="00074626"/>
    <w:rsid w:val="00076B62"/>
    <w:rsid w:val="00082093"/>
    <w:rsid w:val="000861D5"/>
    <w:rsid w:val="0009273A"/>
    <w:rsid w:val="000A20A7"/>
    <w:rsid w:val="000A655B"/>
    <w:rsid w:val="000B54DD"/>
    <w:rsid w:val="000C2055"/>
    <w:rsid w:val="000C2B7F"/>
    <w:rsid w:val="000C37BE"/>
    <w:rsid w:val="000C4C50"/>
    <w:rsid w:val="000D0130"/>
    <w:rsid w:val="000D2EEE"/>
    <w:rsid w:val="000D2F19"/>
    <w:rsid w:val="000E0CEA"/>
    <w:rsid w:val="000F3CBF"/>
    <w:rsid w:val="000F3F42"/>
    <w:rsid w:val="000F473D"/>
    <w:rsid w:val="001017F3"/>
    <w:rsid w:val="0011297B"/>
    <w:rsid w:val="00123768"/>
    <w:rsid w:val="00126B08"/>
    <w:rsid w:val="001272E5"/>
    <w:rsid w:val="00127D01"/>
    <w:rsid w:val="00130F5F"/>
    <w:rsid w:val="001374F5"/>
    <w:rsid w:val="00152FDC"/>
    <w:rsid w:val="001561FD"/>
    <w:rsid w:val="0015647B"/>
    <w:rsid w:val="00156619"/>
    <w:rsid w:val="00156C8B"/>
    <w:rsid w:val="00160A8C"/>
    <w:rsid w:val="001700B4"/>
    <w:rsid w:val="00171070"/>
    <w:rsid w:val="001A416A"/>
    <w:rsid w:val="001A6118"/>
    <w:rsid w:val="001B0364"/>
    <w:rsid w:val="001B0B8E"/>
    <w:rsid w:val="001B342F"/>
    <w:rsid w:val="001C1259"/>
    <w:rsid w:val="001D1DA7"/>
    <w:rsid w:val="001E17E4"/>
    <w:rsid w:val="001E2410"/>
    <w:rsid w:val="001E347C"/>
    <w:rsid w:val="001E6110"/>
    <w:rsid w:val="001F3C4D"/>
    <w:rsid w:val="002033EA"/>
    <w:rsid w:val="00214046"/>
    <w:rsid w:val="0022561F"/>
    <w:rsid w:val="00232DBE"/>
    <w:rsid w:val="002355E7"/>
    <w:rsid w:val="00235F73"/>
    <w:rsid w:val="0023681E"/>
    <w:rsid w:val="00241FEC"/>
    <w:rsid w:val="00243562"/>
    <w:rsid w:val="0025164A"/>
    <w:rsid w:val="00265C3D"/>
    <w:rsid w:val="00266C2E"/>
    <w:rsid w:val="00270DF8"/>
    <w:rsid w:val="002754B3"/>
    <w:rsid w:val="0028392B"/>
    <w:rsid w:val="002934F2"/>
    <w:rsid w:val="002A3A19"/>
    <w:rsid w:val="002A3ED4"/>
    <w:rsid w:val="002A7274"/>
    <w:rsid w:val="002B2833"/>
    <w:rsid w:val="002B7BA1"/>
    <w:rsid w:val="002C01BB"/>
    <w:rsid w:val="002C3FA4"/>
    <w:rsid w:val="002E2161"/>
    <w:rsid w:val="002E30F2"/>
    <w:rsid w:val="002E4E72"/>
    <w:rsid w:val="002F0CE0"/>
    <w:rsid w:val="002F4ED9"/>
    <w:rsid w:val="002F75FE"/>
    <w:rsid w:val="002F7FA5"/>
    <w:rsid w:val="003017F4"/>
    <w:rsid w:val="00301AAB"/>
    <w:rsid w:val="00306B68"/>
    <w:rsid w:val="003129FE"/>
    <w:rsid w:val="003322AC"/>
    <w:rsid w:val="00335342"/>
    <w:rsid w:val="00343A8E"/>
    <w:rsid w:val="00345713"/>
    <w:rsid w:val="003566B9"/>
    <w:rsid w:val="00356C98"/>
    <w:rsid w:val="0036367B"/>
    <w:rsid w:val="0036496C"/>
    <w:rsid w:val="00365414"/>
    <w:rsid w:val="00372734"/>
    <w:rsid w:val="00372A33"/>
    <w:rsid w:val="0037374A"/>
    <w:rsid w:val="00377A88"/>
    <w:rsid w:val="00392E2B"/>
    <w:rsid w:val="003A396F"/>
    <w:rsid w:val="003A68FD"/>
    <w:rsid w:val="003A7A18"/>
    <w:rsid w:val="003B3187"/>
    <w:rsid w:val="003B327A"/>
    <w:rsid w:val="003B4612"/>
    <w:rsid w:val="003B76D2"/>
    <w:rsid w:val="003D6D41"/>
    <w:rsid w:val="003E3B0A"/>
    <w:rsid w:val="0040581D"/>
    <w:rsid w:val="00417BF3"/>
    <w:rsid w:val="00425D21"/>
    <w:rsid w:val="00426463"/>
    <w:rsid w:val="00427875"/>
    <w:rsid w:val="004317A0"/>
    <w:rsid w:val="0043556D"/>
    <w:rsid w:val="0043739B"/>
    <w:rsid w:val="00441579"/>
    <w:rsid w:val="004418B5"/>
    <w:rsid w:val="00445789"/>
    <w:rsid w:val="00463FB8"/>
    <w:rsid w:val="00480A2F"/>
    <w:rsid w:val="00480B47"/>
    <w:rsid w:val="00481F19"/>
    <w:rsid w:val="00487BC0"/>
    <w:rsid w:val="00490FF8"/>
    <w:rsid w:val="004A1851"/>
    <w:rsid w:val="004B337A"/>
    <w:rsid w:val="004B5538"/>
    <w:rsid w:val="004C3127"/>
    <w:rsid w:val="004D27C3"/>
    <w:rsid w:val="004D44D2"/>
    <w:rsid w:val="004D491E"/>
    <w:rsid w:val="004E3E51"/>
    <w:rsid w:val="004E625A"/>
    <w:rsid w:val="004F73BD"/>
    <w:rsid w:val="00502474"/>
    <w:rsid w:val="00515110"/>
    <w:rsid w:val="00523062"/>
    <w:rsid w:val="00532434"/>
    <w:rsid w:val="00537019"/>
    <w:rsid w:val="0054271B"/>
    <w:rsid w:val="00545281"/>
    <w:rsid w:val="00551A39"/>
    <w:rsid w:val="00566585"/>
    <w:rsid w:val="00580A2F"/>
    <w:rsid w:val="005A2CB7"/>
    <w:rsid w:val="005B15C7"/>
    <w:rsid w:val="005B51EA"/>
    <w:rsid w:val="005C6B92"/>
    <w:rsid w:val="005F4CC9"/>
    <w:rsid w:val="0060056E"/>
    <w:rsid w:val="006039C9"/>
    <w:rsid w:val="00605602"/>
    <w:rsid w:val="00605D22"/>
    <w:rsid w:val="00620A03"/>
    <w:rsid w:val="00621126"/>
    <w:rsid w:val="0062145A"/>
    <w:rsid w:val="00633C60"/>
    <w:rsid w:val="00645C9F"/>
    <w:rsid w:val="00650775"/>
    <w:rsid w:val="0065388D"/>
    <w:rsid w:val="00655506"/>
    <w:rsid w:val="00674396"/>
    <w:rsid w:val="006849AD"/>
    <w:rsid w:val="006853A7"/>
    <w:rsid w:val="0069507F"/>
    <w:rsid w:val="006955DD"/>
    <w:rsid w:val="00697A98"/>
    <w:rsid w:val="006A0492"/>
    <w:rsid w:val="006A3DED"/>
    <w:rsid w:val="006A6E23"/>
    <w:rsid w:val="006B05FF"/>
    <w:rsid w:val="006C4D2E"/>
    <w:rsid w:val="006D3D60"/>
    <w:rsid w:val="006E1F9C"/>
    <w:rsid w:val="006E4A2C"/>
    <w:rsid w:val="006E721A"/>
    <w:rsid w:val="006F0E11"/>
    <w:rsid w:val="006F40C8"/>
    <w:rsid w:val="00700872"/>
    <w:rsid w:val="00706BB4"/>
    <w:rsid w:val="00714029"/>
    <w:rsid w:val="007203B6"/>
    <w:rsid w:val="007222C1"/>
    <w:rsid w:val="00725205"/>
    <w:rsid w:val="0074091B"/>
    <w:rsid w:val="00740927"/>
    <w:rsid w:val="00744302"/>
    <w:rsid w:val="00747C60"/>
    <w:rsid w:val="007732EA"/>
    <w:rsid w:val="00777EA3"/>
    <w:rsid w:val="007933F9"/>
    <w:rsid w:val="00793C7B"/>
    <w:rsid w:val="007954B6"/>
    <w:rsid w:val="007A5E22"/>
    <w:rsid w:val="007B3768"/>
    <w:rsid w:val="007B5395"/>
    <w:rsid w:val="007C38FB"/>
    <w:rsid w:val="007C6434"/>
    <w:rsid w:val="007D4E4C"/>
    <w:rsid w:val="007D5F13"/>
    <w:rsid w:val="007D69F8"/>
    <w:rsid w:val="007E4819"/>
    <w:rsid w:val="007E4E03"/>
    <w:rsid w:val="007E7289"/>
    <w:rsid w:val="00805F3F"/>
    <w:rsid w:val="00817A5D"/>
    <w:rsid w:val="00821209"/>
    <w:rsid w:val="00821491"/>
    <w:rsid w:val="00831411"/>
    <w:rsid w:val="00842536"/>
    <w:rsid w:val="00843692"/>
    <w:rsid w:val="0085135B"/>
    <w:rsid w:val="0085287C"/>
    <w:rsid w:val="008559B6"/>
    <w:rsid w:val="008559FD"/>
    <w:rsid w:val="00855E65"/>
    <w:rsid w:val="0085612E"/>
    <w:rsid w:val="00880868"/>
    <w:rsid w:val="00880D30"/>
    <w:rsid w:val="008811AD"/>
    <w:rsid w:val="008812FA"/>
    <w:rsid w:val="008B222B"/>
    <w:rsid w:val="008C138F"/>
    <w:rsid w:val="008C204C"/>
    <w:rsid w:val="008C2625"/>
    <w:rsid w:val="008C4FE2"/>
    <w:rsid w:val="008D4D6A"/>
    <w:rsid w:val="008F7014"/>
    <w:rsid w:val="009049E9"/>
    <w:rsid w:val="00907F9B"/>
    <w:rsid w:val="00911503"/>
    <w:rsid w:val="00917C2D"/>
    <w:rsid w:val="009209B6"/>
    <w:rsid w:val="00923CB4"/>
    <w:rsid w:val="009335E0"/>
    <w:rsid w:val="00941732"/>
    <w:rsid w:val="009510F3"/>
    <w:rsid w:val="00954018"/>
    <w:rsid w:val="00955590"/>
    <w:rsid w:val="00970435"/>
    <w:rsid w:val="009704EC"/>
    <w:rsid w:val="00971619"/>
    <w:rsid w:val="00982EAB"/>
    <w:rsid w:val="0098505E"/>
    <w:rsid w:val="00991480"/>
    <w:rsid w:val="009945A7"/>
    <w:rsid w:val="00995E63"/>
    <w:rsid w:val="0099643D"/>
    <w:rsid w:val="009969DC"/>
    <w:rsid w:val="00996BA5"/>
    <w:rsid w:val="009A0F79"/>
    <w:rsid w:val="009A3C75"/>
    <w:rsid w:val="009B03F2"/>
    <w:rsid w:val="009C4EE2"/>
    <w:rsid w:val="009D46B1"/>
    <w:rsid w:val="009E7F6E"/>
    <w:rsid w:val="009F2B6A"/>
    <w:rsid w:val="009F5541"/>
    <w:rsid w:val="00A01204"/>
    <w:rsid w:val="00A022BA"/>
    <w:rsid w:val="00A256AC"/>
    <w:rsid w:val="00A32BE3"/>
    <w:rsid w:val="00A4207A"/>
    <w:rsid w:val="00A5653E"/>
    <w:rsid w:val="00A63533"/>
    <w:rsid w:val="00A723C4"/>
    <w:rsid w:val="00A72D2B"/>
    <w:rsid w:val="00A820E9"/>
    <w:rsid w:val="00A82942"/>
    <w:rsid w:val="00A83E24"/>
    <w:rsid w:val="00AA20F8"/>
    <w:rsid w:val="00AA327B"/>
    <w:rsid w:val="00AA55AF"/>
    <w:rsid w:val="00AB19A5"/>
    <w:rsid w:val="00AC2FD6"/>
    <w:rsid w:val="00AC78FC"/>
    <w:rsid w:val="00AD4CFE"/>
    <w:rsid w:val="00AE79BA"/>
    <w:rsid w:val="00AF350E"/>
    <w:rsid w:val="00AF3D8F"/>
    <w:rsid w:val="00AF5273"/>
    <w:rsid w:val="00AF5D3D"/>
    <w:rsid w:val="00B0671C"/>
    <w:rsid w:val="00B13495"/>
    <w:rsid w:val="00B262DD"/>
    <w:rsid w:val="00B278DE"/>
    <w:rsid w:val="00B30287"/>
    <w:rsid w:val="00B30EBD"/>
    <w:rsid w:val="00B351C3"/>
    <w:rsid w:val="00B36AC9"/>
    <w:rsid w:val="00B36E7A"/>
    <w:rsid w:val="00B542CD"/>
    <w:rsid w:val="00B6465B"/>
    <w:rsid w:val="00B772D7"/>
    <w:rsid w:val="00B85451"/>
    <w:rsid w:val="00B86006"/>
    <w:rsid w:val="00B86D86"/>
    <w:rsid w:val="00BA2A96"/>
    <w:rsid w:val="00BA5FE5"/>
    <w:rsid w:val="00BC1FD9"/>
    <w:rsid w:val="00BC30FF"/>
    <w:rsid w:val="00BC500D"/>
    <w:rsid w:val="00BD7FD7"/>
    <w:rsid w:val="00BF1606"/>
    <w:rsid w:val="00BF1647"/>
    <w:rsid w:val="00BF5A25"/>
    <w:rsid w:val="00C06428"/>
    <w:rsid w:val="00C11347"/>
    <w:rsid w:val="00C35018"/>
    <w:rsid w:val="00C40A34"/>
    <w:rsid w:val="00C4484E"/>
    <w:rsid w:val="00C46F7C"/>
    <w:rsid w:val="00C519B5"/>
    <w:rsid w:val="00C55EDB"/>
    <w:rsid w:val="00C573E9"/>
    <w:rsid w:val="00C729DA"/>
    <w:rsid w:val="00C764B7"/>
    <w:rsid w:val="00C90B56"/>
    <w:rsid w:val="00CA3F25"/>
    <w:rsid w:val="00CB5B9D"/>
    <w:rsid w:val="00CB6428"/>
    <w:rsid w:val="00CC01A5"/>
    <w:rsid w:val="00CC2134"/>
    <w:rsid w:val="00CD255A"/>
    <w:rsid w:val="00D126EC"/>
    <w:rsid w:val="00D14955"/>
    <w:rsid w:val="00D24CD6"/>
    <w:rsid w:val="00D24FA6"/>
    <w:rsid w:val="00D544D2"/>
    <w:rsid w:val="00D660F8"/>
    <w:rsid w:val="00D744C5"/>
    <w:rsid w:val="00D827AF"/>
    <w:rsid w:val="00D8451F"/>
    <w:rsid w:val="00D8474D"/>
    <w:rsid w:val="00D84D5B"/>
    <w:rsid w:val="00D86771"/>
    <w:rsid w:val="00D90C73"/>
    <w:rsid w:val="00D90F17"/>
    <w:rsid w:val="00D9480E"/>
    <w:rsid w:val="00D94FFD"/>
    <w:rsid w:val="00DA7038"/>
    <w:rsid w:val="00DB4AF2"/>
    <w:rsid w:val="00DB572A"/>
    <w:rsid w:val="00DC14B3"/>
    <w:rsid w:val="00DC399C"/>
    <w:rsid w:val="00DC7D6D"/>
    <w:rsid w:val="00DD2999"/>
    <w:rsid w:val="00DD2B43"/>
    <w:rsid w:val="00DD2CF8"/>
    <w:rsid w:val="00DD5C58"/>
    <w:rsid w:val="00DE240B"/>
    <w:rsid w:val="00DE529C"/>
    <w:rsid w:val="00DE6D9E"/>
    <w:rsid w:val="00DF3482"/>
    <w:rsid w:val="00DF450F"/>
    <w:rsid w:val="00E04A58"/>
    <w:rsid w:val="00E07425"/>
    <w:rsid w:val="00E07A05"/>
    <w:rsid w:val="00E16025"/>
    <w:rsid w:val="00E167FD"/>
    <w:rsid w:val="00E16F50"/>
    <w:rsid w:val="00E24179"/>
    <w:rsid w:val="00E31783"/>
    <w:rsid w:val="00E36636"/>
    <w:rsid w:val="00E43A34"/>
    <w:rsid w:val="00E44D37"/>
    <w:rsid w:val="00E52850"/>
    <w:rsid w:val="00E609A5"/>
    <w:rsid w:val="00E61928"/>
    <w:rsid w:val="00E656D2"/>
    <w:rsid w:val="00E7276C"/>
    <w:rsid w:val="00E84382"/>
    <w:rsid w:val="00E9180B"/>
    <w:rsid w:val="00EA0646"/>
    <w:rsid w:val="00EA2BA4"/>
    <w:rsid w:val="00EA3103"/>
    <w:rsid w:val="00EB15C1"/>
    <w:rsid w:val="00EC325A"/>
    <w:rsid w:val="00EC3A8E"/>
    <w:rsid w:val="00EC57F0"/>
    <w:rsid w:val="00ED68AF"/>
    <w:rsid w:val="00EF2E7C"/>
    <w:rsid w:val="00F01A6E"/>
    <w:rsid w:val="00F11811"/>
    <w:rsid w:val="00F20178"/>
    <w:rsid w:val="00F23C6C"/>
    <w:rsid w:val="00F24BC8"/>
    <w:rsid w:val="00F25045"/>
    <w:rsid w:val="00F30F3E"/>
    <w:rsid w:val="00F32002"/>
    <w:rsid w:val="00F4605D"/>
    <w:rsid w:val="00F51EF5"/>
    <w:rsid w:val="00F74928"/>
    <w:rsid w:val="00F8197E"/>
    <w:rsid w:val="00F833B1"/>
    <w:rsid w:val="00F87D90"/>
    <w:rsid w:val="00F90495"/>
    <w:rsid w:val="00FA4179"/>
    <w:rsid w:val="00FB4362"/>
    <w:rsid w:val="00FB53A1"/>
    <w:rsid w:val="00FD30CF"/>
    <w:rsid w:val="00FE0E46"/>
    <w:rsid w:val="00FF0AEC"/>
    <w:rsid w:val="00FF1DF4"/>
    <w:rsid w:val="00FF4165"/>
    <w:rsid w:val="01826A17"/>
    <w:rsid w:val="06155CFB"/>
    <w:rsid w:val="083B0DA3"/>
    <w:rsid w:val="09616F12"/>
    <w:rsid w:val="0A56459C"/>
    <w:rsid w:val="0EE83C31"/>
    <w:rsid w:val="10F863AD"/>
    <w:rsid w:val="113741D2"/>
    <w:rsid w:val="13070B2A"/>
    <w:rsid w:val="1D34261E"/>
    <w:rsid w:val="1F4629DA"/>
    <w:rsid w:val="257A518B"/>
    <w:rsid w:val="25D53E1D"/>
    <w:rsid w:val="27CE17BE"/>
    <w:rsid w:val="29E928DF"/>
    <w:rsid w:val="2EEE2746"/>
    <w:rsid w:val="31077AEF"/>
    <w:rsid w:val="31CF549D"/>
    <w:rsid w:val="382B0567"/>
    <w:rsid w:val="38DB3D3B"/>
    <w:rsid w:val="3C7F70D3"/>
    <w:rsid w:val="4C55424E"/>
    <w:rsid w:val="4DB82445"/>
    <w:rsid w:val="4F31425D"/>
    <w:rsid w:val="523F47A7"/>
    <w:rsid w:val="527E074E"/>
    <w:rsid w:val="579503FF"/>
    <w:rsid w:val="5ECC5D50"/>
    <w:rsid w:val="60535296"/>
    <w:rsid w:val="607F732C"/>
    <w:rsid w:val="636522D0"/>
    <w:rsid w:val="666B5E4F"/>
    <w:rsid w:val="6B657311"/>
    <w:rsid w:val="72FD2525"/>
    <w:rsid w:val="7394437D"/>
    <w:rsid w:val="75575F1C"/>
    <w:rsid w:val="7A8F7F06"/>
    <w:rsid w:val="7C183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autoRedefine/>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8"/>
    <w:autoRedefine/>
    <w:qFormat/>
    <w:uiPriority w:val="0"/>
    <w:pPr>
      <w:jc w:val="left"/>
    </w:pPr>
  </w:style>
  <w:style w:type="paragraph" w:styleId="4">
    <w:name w:val="Balloon Text"/>
    <w:basedOn w:val="1"/>
    <w:link w:val="15"/>
    <w:autoRedefine/>
    <w:qFormat/>
    <w:uiPriority w:val="0"/>
    <w:rPr>
      <w:sz w:val="18"/>
      <w:szCs w:val="18"/>
    </w:rPr>
  </w:style>
  <w:style w:type="paragraph" w:styleId="5">
    <w:name w:val="footer"/>
    <w:basedOn w:val="1"/>
    <w:link w:val="12"/>
    <w:autoRedefine/>
    <w:qFormat/>
    <w:uiPriority w:val="0"/>
    <w:pPr>
      <w:tabs>
        <w:tab w:val="center" w:pos="4153"/>
        <w:tab w:val="right" w:pos="8306"/>
      </w:tabs>
      <w:snapToGrid w:val="0"/>
      <w:jc w:val="left"/>
    </w:pPr>
    <w:rPr>
      <w:sz w:val="18"/>
      <w:szCs w:val="18"/>
    </w:rPr>
  </w:style>
  <w:style w:type="paragraph" w:styleId="6">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autoRedefine/>
    <w:qFormat/>
    <w:uiPriority w:val="0"/>
    <w:rPr>
      <w:b/>
      <w:bCs/>
    </w:rPr>
  </w:style>
  <w:style w:type="character" w:styleId="10">
    <w:name w:val="line number"/>
    <w:autoRedefine/>
    <w:qFormat/>
    <w:uiPriority w:val="0"/>
  </w:style>
  <w:style w:type="character" w:styleId="11">
    <w:name w:val="annotation reference"/>
    <w:autoRedefine/>
    <w:qFormat/>
    <w:uiPriority w:val="0"/>
    <w:rPr>
      <w:sz w:val="21"/>
      <w:szCs w:val="21"/>
    </w:rPr>
  </w:style>
  <w:style w:type="character" w:customStyle="1" w:styleId="12">
    <w:name w:val="页脚 Char"/>
    <w:link w:val="5"/>
    <w:autoRedefine/>
    <w:qFormat/>
    <w:uiPriority w:val="0"/>
    <w:rPr>
      <w:sz w:val="18"/>
      <w:szCs w:val="18"/>
    </w:rPr>
  </w:style>
  <w:style w:type="character" w:customStyle="1" w:styleId="13">
    <w:name w:val="页眉 Char"/>
    <w:link w:val="6"/>
    <w:autoRedefine/>
    <w:qFormat/>
    <w:uiPriority w:val="0"/>
    <w:rPr>
      <w:sz w:val="18"/>
      <w:szCs w:val="18"/>
    </w:rPr>
  </w:style>
  <w:style w:type="paragraph" w:styleId="14">
    <w:name w:val="List Paragraph"/>
    <w:basedOn w:val="1"/>
    <w:autoRedefine/>
    <w:qFormat/>
    <w:uiPriority w:val="0"/>
    <w:pPr>
      <w:ind w:firstLine="420" w:firstLineChars="200"/>
    </w:pPr>
  </w:style>
  <w:style w:type="character" w:customStyle="1" w:styleId="15">
    <w:name w:val="批注框文本 Char"/>
    <w:link w:val="4"/>
    <w:autoRedefine/>
    <w:qFormat/>
    <w:uiPriority w:val="0"/>
    <w:rPr>
      <w:kern w:val="2"/>
      <w:sz w:val="18"/>
      <w:szCs w:val="18"/>
    </w:rPr>
  </w:style>
  <w:style w:type="character" w:customStyle="1" w:styleId="16">
    <w:name w:val="标题 1 Char"/>
    <w:link w:val="2"/>
    <w:autoRedefine/>
    <w:qFormat/>
    <w:uiPriority w:val="0"/>
    <w:rPr>
      <w:rFonts w:ascii="Times New Roman" w:hAnsi="Times New Roman"/>
      <w:b/>
      <w:bCs/>
      <w:kern w:val="44"/>
      <w:sz w:val="44"/>
      <w:szCs w:val="44"/>
    </w:rPr>
  </w:style>
  <w:style w:type="paragraph" w:customStyle="1" w:styleId="17">
    <w:name w:val="TOC Heading"/>
    <w:basedOn w:val="2"/>
    <w:next w:val="1"/>
    <w:autoRedefine/>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8">
    <w:name w:val="批注文字 Char"/>
    <w:link w:val="3"/>
    <w:autoRedefine/>
    <w:qFormat/>
    <w:uiPriority w:val="0"/>
    <w:rPr>
      <w:kern w:val="2"/>
      <w:sz w:val="21"/>
      <w:szCs w:val="22"/>
    </w:rPr>
  </w:style>
  <w:style w:type="character" w:customStyle="1" w:styleId="19">
    <w:name w:val="批注主题 Char"/>
    <w:link w:val="7"/>
    <w:autoRedefine/>
    <w:qFormat/>
    <w:uiPriority w:val="0"/>
    <w:rPr>
      <w:b/>
      <w:bCs/>
      <w:kern w:val="2"/>
      <w:sz w:val="21"/>
      <w:szCs w:val="22"/>
    </w:rPr>
  </w:style>
  <w:style w:type="character" w:customStyle="1" w:styleId="20">
    <w:name w:val="fontstyle01"/>
    <w:autoRedefine/>
    <w:qFormat/>
    <w:uiPriority w:val="0"/>
    <w:rPr>
      <w:rFonts w:hint="eastAsia" w:ascii="仿宋_GB2312" w:eastAsia="仿宋_GB2312"/>
      <w:color w:val="000000"/>
      <w:sz w:val="32"/>
      <w:szCs w:val="32"/>
    </w:rPr>
  </w:style>
  <w:style w:type="character" w:customStyle="1" w:styleId="21">
    <w:name w:val="fontstyle21"/>
    <w:autoRedefine/>
    <w:qFormat/>
    <w:uiPriority w:val="0"/>
    <w:rPr>
      <w:rFonts w:hint="default" w:ascii="TimesNewRomanPSMT" w:hAnsi="TimesNewRomanPSMT"/>
      <w:color w:val="000000"/>
      <w:sz w:val="32"/>
      <w:szCs w:val="32"/>
    </w:rPr>
  </w:style>
  <w:style w:type="character" w:customStyle="1" w:styleId="22">
    <w:name w:val="fontstyle11"/>
    <w:autoRedefine/>
    <w:uiPriority w:val="0"/>
    <w:rPr>
      <w:rFonts w:hint="eastAsia" w:ascii="仿宋_GB2312" w:eastAsia="仿宋_GB2312"/>
      <w:color w:val="000000"/>
      <w:sz w:val="32"/>
      <w:szCs w:val="32"/>
    </w:rPr>
  </w:style>
  <w:style w:type="character" w:customStyle="1" w:styleId="23">
    <w:name w:val="fontstyle31"/>
    <w:autoRedefine/>
    <w:qFormat/>
    <w:uiPriority w:val="0"/>
    <w:rPr>
      <w:rFonts w:hint="default" w:ascii="TimesNewRomanPSMT" w:hAnsi="TimesNewRomanPSMT"/>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beijing</Company>
  <Pages>30</Pages>
  <Words>1440</Words>
  <Characters>8209</Characters>
  <Lines>68</Lines>
  <Paragraphs>19</Paragraphs>
  <TotalTime>26</TotalTime>
  <ScaleCrop>false</ScaleCrop>
  <LinksUpToDate>false</LinksUpToDate>
  <CharactersWithSpaces>9630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2024-01-30T09:03:00Z</dcterms:created>
  <dc:creator>home</dc:creator>
  <cp:lastModifiedBy>堇年15111753221</cp:lastModifiedBy>
  <cp:lastPrinted>2024-02-18T02:23:00Z</cp:lastPrinted>
  <dcterms:modified xsi:type="dcterms:W3CDTF">2024-03-19T01:54:05Z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582FD299177A4C4AAE7B3E360D1B4C97_13</vt:lpwstr>
  </property>
</Properties>
</file>