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both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      积石山县中部人饮工程管理站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134" w:right="1134" w:bottom="1440" w:left="1276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2024年部门/单位预算公开情况说明 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  录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30" w:lineRule="exact"/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第一部分 部门/单位基本概况</w:t>
      </w:r>
      <w:bookmarkStart w:id="0" w:name="_GoBack"/>
      <w:bookmarkEnd w:id="0"/>
    </w:p>
    <w:p>
      <w:pPr>
        <w:spacing w:line="560" w:lineRule="exact"/>
        <w:ind w:firstLine="600" w:firstLineChars="200"/>
        <w:jc w:val="left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一、单位职责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管理9个乡镇农村饮水和为农村水利事业建设提供技术支持</w:t>
      </w:r>
    </w:p>
    <w:p>
      <w:pPr>
        <w:numPr>
          <w:ilvl w:val="0"/>
          <w:numId w:val="1"/>
        </w:numPr>
        <w:spacing w:line="560" w:lineRule="exact"/>
        <w:ind w:firstLine="600" w:firstLineChars="200"/>
        <w:jc w:val="left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92" w:firstLineChars="404"/>
        <w:textAlignment w:val="auto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3个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第二部分 2024年部门/单位预算情况说明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一、收支总体情况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二、一般公共预算情况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三、一般公共预算财政拨款“三公”经费、培训费、会议费等情况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四、一般公共预算财政拨款机关运行经费情况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五、政府采购安排情况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六、国有资产占用情况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七、其他重要事项情况说明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八、预算绩效管理情况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九、名词解释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第三部分 2024年部门（单位）预算公开表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二、部门/单位收入总体情况表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三、部门/单位支出总体情况表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四、财政拨款收支总体情况表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五、财政拨款支出表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六、一般公共预算支出情况表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七、一般公共预算基本支出情况表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" w:eastAsia="仿宋_GB2312"/>
          <w:color w:val="000000"/>
          <w:spacing w:val="-20"/>
          <w:sz w:val="30"/>
          <w:szCs w:val="30"/>
        </w:rPr>
        <w:t>一般公共预算财政拨款“三公”经费、会议费、培训费支出情况表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九、一般公共预算财政拨款机关运行经费表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十、政府性基金预算支出情况表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一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、国有资本经营预算支出情况表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、部门/单位整体支出绩效目标表和项目支出绩效目标表</w:t>
      </w:r>
    </w:p>
    <w:p>
      <w:pPr>
        <w:spacing w:line="66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spacing w:line="600" w:lineRule="exact"/>
        <w:ind w:firstLine="562" w:firstLineChars="200"/>
        <w:rPr>
          <w:rFonts w:ascii="仿宋_GB2312" w:hAnsi="仿宋" w:eastAsia="仿宋_GB2312" w:cs="宋体"/>
          <w:b/>
          <w:kern w:val="0"/>
          <w:sz w:val="28"/>
          <w:szCs w:val="28"/>
        </w:rPr>
        <w:sectPr>
          <w:footerReference r:id="rId4" w:type="default"/>
          <w:pgSz w:w="11906" w:h="16838"/>
          <w:pgMar w:top="1134" w:right="1134" w:bottom="1440" w:left="1276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firstLine="643" w:firstLineChars="200"/>
        <w:rPr>
          <w:rFonts w:ascii="仿宋_GB2312" w:hAnsi="黑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前言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kern w:val="0"/>
          <w:sz w:val="32"/>
          <w:szCs w:val="32"/>
        </w:rPr>
        <w:t>财政部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一、部门/单位职责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管理9个乡镇农村饮水和为农村水利事业建设提供技术支持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二、机构设置情况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（一）机关内设机构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本单位不是机关单位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（二）参照公务员法管理单位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本单位不是参公单位</w:t>
      </w:r>
    </w:p>
    <w:p>
      <w:pPr>
        <w:spacing w:line="600" w:lineRule="exact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（三）直属事业单位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本单位是县城乡供水服务中心下属股级事业单位,内设办公室,财务室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三、部门/单位收支总体情况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按照预算管理有关规定，2024年部门（单位）收支包括机关预算和直属单位预算在内的汇总情况。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2024年部门收支总预算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112.34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万元。按照综合预算的原则，部门（单位）所有收入和支出均纳入部门预算管理。收入包括：一般公共预算拨款收入、政府性基金预算拨款收入、事业收入、事业单位经营收入、其他收入、使用非财政拨款结余、上年结转；支出包括：一般公共服务支出、公共安全支出、教育支出、科学技术支出、社会保障和就业支出、卫生健康支出、交通运输支出、住房保障支出、其他支出。</w:t>
      </w:r>
    </w:p>
    <w:p>
      <w:pPr>
        <w:spacing w:line="600" w:lineRule="exact"/>
        <w:ind w:firstLine="643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（一）收入预算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2024年收入预算 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112.34</w:t>
      </w:r>
      <w:r>
        <w:rPr>
          <w:rFonts w:hint="eastAsia" w:ascii="仿宋_GB2312" w:hAnsi="仿宋" w:eastAsia="仿宋_GB2312"/>
          <w:sz w:val="32"/>
          <w:szCs w:val="32"/>
        </w:rPr>
        <w:t>万元（详见部门/单位预算公开表1,2）。包括：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一般公共预算收入 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112.34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政府性基金预算收入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上年结转收入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其他收入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（二）支出预算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2024年支出预算 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112.34</w:t>
      </w:r>
      <w:r>
        <w:rPr>
          <w:rFonts w:hint="eastAsia" w:ascii="仿宋_GB2312" w:hAnsi="仿宋" w:eastAsia="仿宋_GB2312"/>
          <w:sz w:val="32"/>
          <w:szCs w:val="32"/>
        </w:rPr>
        <w:t xml:space="preserve"> 万元（详见部门/单位预算公开表3）。</w:t>
      </w:r>
      <w:r>
        <w:rPr>
          <w:rStyle w:val="20"/>
          <w:rFonts w:hint="default" w:hAnsi="仿宋"/>
        </w:rPr>
        <w:t>其中：基本支出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112.34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0"/>
          <w:rFonts w:hint="default" w:hAnsi="仿宋"/>
        </w:rPr>
        <w:t>万元， 占</w:t>
      </w:r>
      <w:r>
        <w:rPr>
          <w:rStyle w:val="20"/>
          <w:rFonts w:hint="eastAsia" w:hAnsi="仿宋" w:eastAsia="仿宋_GB2312"/>
          <w:lang w:val="en-US" w:eastAsia="zh-CN"/>
        </w:rPr>
        <w:t>100</w:t>
      </w:r>
      <w:r>
        <w:rPr>
          <w:rStyle w:val="20"/>
          <w:rFonts w:hint="default" w:hAnsi="仿宋"/>
        </w:rPr>
        <w:t xml:space="preserve"> </w:t>
      </w:r>
      <w:r>
        <w:rPr>
          <w:rStyle w:val="21"/>
          <w:rFonts w:hint="eastAsia" w:ascii="仿宋_GB2312" w:hAnsi="仿宋" w:eastAsia="仿宋_GB2312"/>
        </w:rPr>
        <w:t>%</w:t>
      </w:r>
      <w:r>
        <w:rPr>
          <w:rStyle w:val="20"/>
          <w:rFonts w:hint="default" w:hAnsi="仿宋"/>
        </w:rPr>
        <w:t xml:space="preserve">； 项目支出 </w:t>
      </w:r>
      <w:r>
        <w:rPr>
          <w:rStyle w:val="20"/>
          <w:rFonts w:hint="eastAsia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0"/>
          <w:rFonts w:hint="default" w:hAnsi="仿宋"/>
        </w:rPr>
        <w:t>万元，占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 xml:space="preserve"> %</w:t>
      </w:r>
      <w:r>
        <w:rPr>
          <w:rStyle w:val="20"/>
          <w:rFonts w:hint="default" w:hAnsi="仿宋"/>
        </w:rPr>
        <w:t>； 上年结转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0"/>
          <w:rFonts w:hint="default" w:hAnsi="仿宋"/>
        </w:rPr>
        <w:t>万元， 占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 xml:space="preserve"> %</w:t>
      </w:r>
      <w:r>
        <w:rPr>
          <w:rStyle w:val="20"/>
          <w:rFonts w:hint="default" w:hAnsi="仿宋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Style w:val="21"/>
          <w:rFonts w:hint="eastAsia" w:ascii="仿宋_GB2312" w:hAnsi="仿宋" w:eastAsia="仿宋_GB2312"/>
        </w:rPr>
        <w:t xml:space="preserve">2024 </w:t>
      </w:r>
      <w:r>
        <w:rPr>
          <w:rStyle w:val="20"/>
          <w:rFonts w:hint="default" w:hAnsi="仿宋"/>
        </w:rPr>
        <w:t>年一般公共预算当年支出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112.34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0"/>
          <w:rFonts w:hint="default" w:hAnsi="仿宋"/>
        </w:rPr>
        <w:t>万元，包括：一般公共服务支出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0"/>
          <w:rFonts w:hint="default" w:hAnsi="仿宋"/>
        </w:rPr>
        <w:t>万元、公共安全支出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0"/>
          <w:rFonts w:hint="default" w:hAnsi="仿宋"/>
        </w:rPr>
        <w:t>万元、教育支出</w:t>
      </w:r>
      <w:r>
        <w:rPr>
          <w:rStyle w:val="21"/>
          <w:rFonts w:hint="eastAsia" w:ascii="仿宋_GB2312" w:hAnsi="仿宋" w:eastAsia="仿宋_GB2312"/>
        </w:rPr>
        <w:t xml:space="preserve"> 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0"/>
          <w:rFonts w:hint="default" w:hAnsi="仿宋"/>
        </w:rPr>
        <w:t>万元、科学技术支出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万元、社会保障和就业支出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1"/>
          <w:rFonts w:hint="eastAsia" w:ascii="仿宋_GB2312" w:hAnsi="仿宋" w:eastAsia="仿宋_GB2312"/>
          <w:lang w:val="en-US" w:eastAsia="zh-CN"/>
        </w:rPr>
        <w:t>14.93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0"/>
          <w:rFonts w:hint="default" w:hAnsi="仿宋"/>
        </w:rPr>
        <w:t>万元、</w:t>
      </w:r>
      <w:r>
        <w:rPr>
          <w:rStyle w:val="20"/>
          <w:rFonts w:hint="eastAsia" w:hAnsi="仿宋" w:eastAsia="仿宋_GB2312"/>
          <w:lang w:val="en-US" w:eastAsia="zh-CN"/>
        </w:rPr>
        <w:t>卫生健康支出0.090</w:t>
      </w:r>
      <w:r>
        <w:rPr>
          <w:rStyle w:val="20"/>
          <w:rFonts w:hint="default" w:hAnsi="仿宋"/>
        </w:rPr>
        <w:t>万元</w:t>
      </w:r>
      <w:r>
        <w:rPr>
          <w:rStyle w:val="20"/>
          <w:rFonts w:hint="eastAsia" w:hAnsi="仿宋" w:eastAsia="仿宋_GB2312"/>
          <w:lang w:val="en-US" w:eastAsia="zh-CN"/>
        </w:rPr>
        <w:t>,农林水支出89.54</w:t>
      </w:r>
      <w:r>
        <w:rPr>
          <w:rStyle w:val="20"/>
          <w:rFonts w:hint="default" w:hAnsi="仿宋"/>
        </w:rPr>
        <w:t>万元</w:t>
      </w:r>
      <w:r>
        <w:rPr>
          <w:rStyle w:val="20"/>
          <w:rFonts w:hint="eastAsia" w:hAnsi="仿宋" w:eastAsia="仿宋_GB2312"/>
          <w:lang w:val="en-US" w:eastAsia="zh-CN"/>
        </w:rPr>
        <w:t>,住房保障支出7.79</w:t>
      </w:r>
      <w:r>
        <w:rPr>
          <w:rStyle w:val="20"/>
          <w:rFonts w:hint="default" w:hAnsi="仿宋"/>
        </w:rPr>
        <w:t>万元</w:t>
      </w:r>
      <w:r>
        <w:rPr>
          <w:rStyle w:val="20"/>
          <w:rFonts w:hint="eastAsia" w:hAnsi="仿宋" w:eastAsia="仿宋_GB2312"/>
          <w:lang w:val="en-US" w:eastAsia="zh-CN"/>
        </w:rPr>
        <w:t>,</w:t>
      </w:r>
      <w:r>
        <w:rPr>
          <w:rStyle w:val="20"/>
          <w:rFonts w:hint="default" w:hAnsi="仿宋"/>
        </w:rPr>
        <w:t>其他支出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0"/>
          <w:rFonts w:hint="default" w:hAnsi="仿宋"/>
        </w:rPr>
        <w:t>万元。</w:t>
      </w:r>
      <w:r>
        <w:rPr>
          <w:rFonts w:hint="eastAsia" w:ascii="仿宋_GB2312" w:hAnsi="仿宋" w:eastAsia="仿宋_GB2312"/>
          <w:sz w:val="32"/>
          <w:szCs w:val="32"/>
        </w:rPr>
        <w:t>具体安排情况如下</w:t>
      </w:r>
      <w:r>
        <w:rPr>
          <w:rFonts w:hint="eastAsia" w:ascii="仿宋_GB2312" w:hAnsi="微软雅黑" w:eastAsia="仿宋_GB2312"/>
          <w:sz w:val="32"/>
          <w:szCs w:val="32"/>
        </w:rPr>
        <w:t>（详见部门（单位）预算公开表4,5,6,7）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（一）基本支出</w:t>
      </w:r>
    </w:p>
    <w:p>
      <w:pPr>
        <w:widowControl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2024年基本支出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112.34</w:t>
      </w:r>
      <w:r>
        <w:rPr>
          <w:rFonts w:hint="eastAsia" w:ascii="仿宋_GB2312" w:hAnsi="仿宋" w:eastAsia="仿宋_GB2312"/>
          <w:sz w:val="32"/>
          <w:szCs w:val="32"/>
        </w:rPr>
        <w:t xml:space="preserve"> 万元，比2023年预算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减少5.61</w:t>
      </w:r>
      <w:r>
        <w:rPr>
          <w:rFonts w:hint="eastAsia" w:ascii="仿宋_GB2312" w:hAnsi="仿宋" w:eastAsia="仿宋_GB2312"/>
          <w:sz w:val="32"/>
          <w:szCs w:val="32"/>
        </w:rPr>
        <w:t xml:space="preserve">   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4.75</w:t>
      </w:r>
      <w:r>
        <w:rPr>
          <w:rFonts w:hint="eastAsia" w:ascii="仿宋_GB2312" w:hAnsi="仿宋" w:eastAsia="仿宋_GB2312"/>
          <w:sz w:val="32"/>
          <w:szCs w:val="32"/>
        </w:rPr>
        <w:t xml:space="preserve">  %，增长的主要原因是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人员退休减少</w:t>
      </w:r>
      <w:r>
        <w:rPr>
          <w:rStyle w:val="20"/>
          <w:rFonts w:hint="default" w:hAnsi="仿宋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其中：人员经费支出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112.34</w:t>
      </w:r>
      <w:r>
        <w:rPr>
          <w:rFonts w:hint="eastAsia" w:ascii="仿宋_GB2312" w:hAnsi="仿宋" w:eastAsia="仿宋_GB2312"/>
          <w:sz w:val="32"/>
          <w:szCs w:val="32"/>
        </w:rPr>
        <w:t>万元，主要包括：基本工资、津贴补贴、奖金、伙食补助费、绩效工资、机关事业单位基本养老保险缴费、职业年金缴费、职工基本医疗保险缴费、公务员医疗补助缴费、其他社会保障缴费、住房公积金、医疗费、其他工资福利支出、离休费、退休费、退职（役）费、抚恤金、生活补助、救济费、医疗费补助、助学金、奖励金、个人农业生产补贴、代缴社会保险费 、其他对个人和家庭的补助等。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公用经费支出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（二）项目支出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2024年一般公共预算财政拨款项目支出预算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万元，比2023年预算增加（减少）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万元，增长（减少）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%，增长（减少）的主要原因是……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经济社会发展项目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个，主要是项目1、项目2、项目3……。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保障运转经费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个，主要是项目1、项目2、项目3……。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其他项目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个，主要是项目1、项目2、项目3……。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（三）支出功能分类说明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NewRomanPS-BoldMT" w:eastAsia="仿宋_GB2312"/>
          <w:bCs/>
          <w:color w:val="000000"/>
          <w:sz w:val="32"/>
          <w:szCs w:val="32"/>
        </w:rPr>
        <w:t>1.</w:t>
      </w:r>
      <w:r>
        <w:rPr>
          <w:rFonts w:hint="eastAsia" w:ascii="仿宋_GB2312" w:hAnsi="TimesNewRomanPS-BoldMT" w:eastAsia="仿宋_GB2312"/>
          <w:bCs/>
          <w:color w:val="000000"/>
          <w:sz w:val="32"/>
          <w:szCs w:val="32"/>
          <w:lang w:val="en-US" w:eastAsia="zh-CN"/>
        </w:rPr>
        <w:t>无</w:t>
      </w:r>
      <w:r>
        <w:rPr>
          <w:rFonts w:hint="eastAsia" w:ascii="仿宋_GB2312" w:eastAsia="仿宋_GB2312"/>
          <w:color w:val="000000"/>
          <w:sz w:val="32"/>
          <w:szCs w:val="32"/>
        </w:rPr>
        <w:t>一般公共服务（ 类） 纪检监察事务（ 款） 派驻派出机构（ 项）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五、部门（单位）一般公共预算财政拨款“三公”经费、培训费、会议费等情况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（一）“三公”经费情况说明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“三公”经费预算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1.因公出国（境）费用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2.公务接待费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3.公务用车购置及运行维护费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（二）培训费预算情况说明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4.培训费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（三）会议费预算情况说明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5.会议费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六、一般公共预算财政拨款机关运行经费情况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机关运行经费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七、政府采购安排情况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2024年，部门（单位）政府采购预算总额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万元，其中：政府采购货物预算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万元，政府采购工程预算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万元，政府采购服务预算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2024年，部门（单位）面向中小企业预留政府采购项目预算金额  万元，小微企业预留政府采购项目预算金额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八、国有资产占用情况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上年末固定资产金额为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49.9995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万元。其中：办公用房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平方米，价值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8.9692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万元。预算部门（单位）共有公务用车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辆，价值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12.18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万元。单价20万元以上的设备价值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万元。2024年拟采购固定资产约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九、其他重要事项情况说明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（一）政府性基金预算支出情况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未安排预算，政府性基金预算支出情况表为空表。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（二）非税收入情况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2024年本部门/单位涉及非税收入，2024年计划征收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75</w:t>
      </w:r>
      <w:r>
        <w:rPr>
          <w:rFonts w:hint="eastAsia" w:ascii="仿宋_GB2312" w:hAnsi="仿宋" w:eastAsia="仿宋_GB2312"/>
          <w:sz w:val="32"/>
          <w:szCs w:val="32"/>
        </w:rPr>
        <w:t xml:space="preserve"> 万元。其中：中央（省级）批准设立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个，主要是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水</w:t>
      </w:r>
      <w:r>
        <w:rPr>
          <w:rFonts w:hint="eastAsia" w:ascii="仿宋_GB2312" w:hAnsi="仿宋" w:eastAsia="仿宋_GB2312"/>
          <w:sz w:val="32"/>
          <w:szCs w:val="32"/>
        </w:rPr>
        <w:t>费。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（三）重点项目情况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本部门/单位年初预算未安排项目支出，无重点项目说明。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）国有资本经营预算支出情况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未安排预算，国有资本经营预算支出情况表为空表。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十、预算绩效管理情况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（一）2023年预算绩效管理工作情况。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按照《中共中央 国务院关于全面实施预算绩效管理的意见》《中共甘肃省委 甘肃省人民政府关于全面实施预算绩效管理的实施意见》等相关要求，我们将绩效理念和方法融入预算编制、执行、决算和监督全过程认真开展各项工作。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1.绩效目标管理情况。</w:t>
      </w:r>
      <w:r>
        <w:rPr>
          <w:rFonts w:hint="eastAsia" w:ascii="仿宋_GB2312" w:hAnsi="仿宋" w:eastAsia="仿宋_GB2312"/>
          <w:sz w:val="32"/>
          <w:szCs w:val="32"/>
        </w:rPr>
        <w:t>2023年度，按照“谁申请资金，谁设置目标”的原则，纳入部门预算管理的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仿宋" w:eastAsia="仿宋_GB2312"/>
          <w:sz w:val="32"/>
          <w:szCs w:val="32"/>
        </w:rPr>
        <w:t xml:space="preserve">整体支出和项目绩效目标   个，按规定随年度预算一并公开项目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个，公开率为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 %。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2.绩效运行监控情况。</w:t>
      </w:r>
      <w:r>
        <w:rPr>
          <w:rFonts w:hint="eastAsia" w:ascii="仿宋_GB2312" w:hAnsi="仿宋" w:eastAsia="仿宋_GB2312"/>
          <w:sz w:val="32"/>
          <w:szCs w:val="32"/>
        </w:rPr>
        <w:t xml:space="preserve">2023年7月，组织开展1-6月绩效运行监控项目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个，占本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仿宋" w:eastAsia="仿宋_GB2312"/>
          <w:sz w:val="32"/>
          <w:szCs w:val="32"/>
        </w:rPr>
        <w:t xml:space="preserve">项目的    %。截至7月底，如期完成预算执行和绩效目标指标值的项目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个，完成率为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%。“双监控”发现存在的问题和主要原因是：……(需自行完善编辑)。开展1-9月绩效运行监控项目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个，占本部门（单位）项目的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 %。截至10月底，如期完成预算执行和绩效目标指标值的项目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个，完成率为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%。“双监控”发现存在的问题和主要原因是：……。绩效运行监控在部门内部通报整改情况：……(需自行完善编辑)。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3.绩效自评开展情况。</w:t>
      </w:r>
      <w:r>
        <w:rPr>
          <w:rFonts w:hint="eastAsia" w:ascii="仿宋_GB2312" w:hAnsi="仿宋" w:eastAsia="仿宋_GB2312"/>
          <w:sz w:val="32"/>
          <w:szCs w:val="32"/>
        </w:rPr>
        <w:t xml:space="preserve">2023年度，组织开展绩效自评项目共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 xml:space="preserve">  个，其中，部门（单位）整体支出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 xml:space="preserve"> 个，项目支出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个，转移支付项目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个，绩效自评覆盖率为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%。绩效自评结果随部门决算报送财政和随决算公开情况：┄┄(需自行完善编辑)。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4.绩效结果应用情况。</w:t>
      </w:r>
      <w:r>
        <w:rPr>
          <w:rFonts w:hint="eastAsia" w:ascii="仿宋_GB2312" w:hAnsi="仿宋" w:eastAsia="仿宋_GB2312"/>
          <w:sz w:val="32"/>
          <w:szCs w:val="32"/>
        </w:rPr>
        <w:t xml:space="preserve">根据2023年度绩效运行监控、绩效自评等情况，当年盘活财政资金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万元，2024年度增加（减少）部门预算项目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个，增长率/压减率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%。同时对政策和项目资金管理作出调整的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个。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（二）2024年绩效目标编制情况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2024年，纳入部门/单位预算绩效目标管理的项目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个。其中，部门整体支出绩效目标围绕部门管理、履职效果、能力建设三个维度，设置二级指标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 xml:space="preserve"> 个、三级指标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个；项目支出绩效目标围绕成本指标、产出指标、效益指标、满意度指标四个维度，设置二级指标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个、三级指标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个。各项绩效目标内容指向明确、细化量化、合理可行，符合规定的格式要求。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十一、名词解释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1、财政拨款: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指由一般公共预算、政府性基金预算、国有资本经营预算安排的财政拨款数。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2、一般公共预算: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包括公共财政拨款（补助）资金、专项收入。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3、财政专户管理资金: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包括专户管理行政事业性收费（主要是教育收费）、其他非税收入。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4、其他资金: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包括事业收入、事业经营收入、其他收入等。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5、基本支出: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包括人员经费、公用经费（定额）。其中，人员经费包括工资福利支出、对个人和家庭的补助。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6、项目支出: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部门（单位）支出预算的组成部分，是各部门（单位）为完成其特定的行政任务或事业发展目标，在基本支出预算之外编制的年度项目支出计划。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7、“三公”经费: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因公出国（境）费、公务用车购置及运行维护费和公务接待费。其中，因公出国（境）费反映单位公务出国（境）的国际旅费、国外城市间交通费、住宿费、伙食费、培训费、公杂费等支出；公务用车运行维护费反映单位按规定保留的公务用车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8、机关运行经费: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为保障行政单位（包括实行公务员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……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contextualSpacing/>
        <w:jc w:val="center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right="1120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积石山县中部人饮工程管理站</w:t>
      </w:r>
    </w:p>
    <w:p>
      <w:pPr>
        <w:adjustRightInd w:val="0"/>
        <w:snapToGrid w:val="0"/>
        <w:spacing w:line="640" w:lineRule="exact"/>
        <w:ind w:right="1120"/>
        <w:contextualSpacing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 xml:space="preserve">年 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 xml:space="preserve"> 月 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1.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积石山县中部人饮工程管理站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 xml:space="preserve"> 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预算公开表</w:t>
      </w:r>
    </w:p>
    <w:p>
      <w:pPr>
        <w:adjustRightInd w:val="0"/>
        <w:snapToGrid w:val="0"/>
        <w:spacing w:line="640" w:lineRule="exact"/>
        <w:ind w:left="1796" w:leftChars="767" w:hanging="185" w:hangingChars="58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积石山县中部人饮工程管理站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整体支出绩效目标及预算项目绩效目标表</w:t>
      </w:r>
    </w:p>
    <w:p>
      <w:pPr>
        <w:adjustRightInd w:val="0"/>
        <w:snapToGrid w:val="0"/>
        <w:spacing w:line="640" w:lineRule="exact"/>
        <w:contextualSpacing/>
        <w:rPr>
          <w:rFonts w:ascii="宋体" w:hAnsi="宋体"/>
          <w:b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表一、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收支总体情况表</w:t>
      </w:r>
    </w:p>
    <w:tbl>
      <w:tblPr>
        <w:tblStyle w:val="8"/>
        <w:tblpPr w:leftFromText="180" w:rightFromText="180" w:vertAnchor="text" w:horzAnchor="page" w:tblpX="1285" w:tblpY="342"/>
        <w:tblOverlap w:val="never"/>
        <w:tblW w:w="96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600"/>
        <w:gridCol w:w="3236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112.34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89.54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十五、资源勘探工业信息等支出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二十一、粮油物资储备支出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三十、抗疫特别国债还本支出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112.34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112.34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三十一、结转下年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112.34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112.34</w:t>
            </w:r>
          </w:p>
        </w:tc>
      </w:tr>
    </w:tbl>
    <w:p>
      <w:pPr>
        <w:ind w:firstLine="8820" w:firstLineChars="4900"/>
        <w:jc w:val="both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71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表二、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2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112.34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三、国有资本经营预算收入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四、教育专户核算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五、事业收入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六、上级补助收入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七、附属单位上缴收入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八、经营收入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九、其他收入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本年收入合计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112.34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十、上年结转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十一、上年结余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112.34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备注：无内容应公开空表并说明情况。</w:t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表三、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7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1531"/>
        <w:gridCol w:w="1531"/>
        <w:gridCol w:w="1531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上年结转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112.34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112.34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left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2080505社会保障和就业支出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14.93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14.93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left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2101102卫生健康支出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eastAsia" w:ascii="宋体" w:hAnsi="宋体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left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21301农林水支出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89.54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89.54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left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2210201住房保障支出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eastAsia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7.79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7.79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8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363"/>
        <w:gridCol w:w="388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112.34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89.54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（十五）资源勘探工业信息等支出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（二十一）粮油物资储备支出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（二十九）抗疫特别国债还本支出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112.34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112.342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 w:cs="Arial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Cs/>
          <w:color w:val="000000"/>
          <w:kern w:val="0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表五、财政拨款支出表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5"/>
        <w:gridCol w:w="1065"/>
        <w:gridCol w:w="1066"/>
        <w:gridCol w:w="1025"/>
        <w:gridCol w:w="1066"/>
        <w:gridCol w:w="1066"/>
        <w:gridCol w:w="1025"/>
        <w:gridCol w:w="1066"/>
        <w:gridCol w:w="1066"/>
        <w:gridCol w:w="1025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积石山县中部人饮工程管理站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112.34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112.34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112.34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积石山县中部人饮工程管理站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112.34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112.34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112.34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表六、一般公共预算支出情况表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6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4253"/>
        <w:gridCol w:w="1417"/>
        <w:gridCol w:w="1418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4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42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112.34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112.34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14.93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14.93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 xml:space="preserve"> 20805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 xml:space="preserve">  行政事业单位养老支出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14.93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14.93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2080505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机关事业单位基本养老保险缴费支出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14.93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14.93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卫生健康支出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21011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行政事业单位医疗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 xml:space="preserve">  2101102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事业单位医疗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农林水支出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89.54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89.54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21303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水利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89.54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89.54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 xml:space="preserve">  2130301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 xml:space="preserve">  行政运行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89.54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89.54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ascii="宋体" w:hAnsi="宋体"/>
                <w:b w:val="0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住房保障支出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7.79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7.79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 xml:space="preserve">  22102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 xml:space="preserve"> 住房改革支出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7.79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7.79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 xml:space="preserve">   2210201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 xml:space="preserve">    住房公积金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7.79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ascii="宋体" w:hAnsi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7.79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表七、一般公共预算基本支出情况表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4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52"/>
        <w:gridCol w:w="1559"/>
        <w:gridCol w:w="1418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4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112.34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111.05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工资福利支出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111.05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111.05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基本工资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28.83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28.83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30102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津贴补贴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41.48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41.48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30103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奖金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16.82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16.82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职工基本医疗缴费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4.626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公务员医疗补助缴费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0.97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30112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其它社会保障缴费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10.51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10.51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30113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住房公积金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7.79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7.79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302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商品和服务支出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1.30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30228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工会经费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1.30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512"/>
        </w:tabs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ab/>
      </w:r>
    </w:p>
    <w:p>
      <w:pPr>
        <w:tabs>
          <w:tab w:val="left" w:pos="151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表八、一般公共预算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“三公”经费、会议费、培训费支出情况表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公务用车购置和运行费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表九、一般公共预算财政拨款机关运行经费表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21"/>
        <w:gridCol w:w="1814"/>
        <w:gridCol w:w="1814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[30201]办公费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[30202]印刷费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[30205]水费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[30206]电费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[30207]邮电费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[30208]取暖费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[30209]物业管理费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[30211]差旅费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[30213]维修（护）费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[30215]会议费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[30218]专用材料费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[30229]福利费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[30231]公务用车运行维护费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[31002]办公设备购置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、国有资本经营预算支出情况表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3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部门/单位整体支出绩效目标表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8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625"/>
        <w:gridCol w:w="846"/>
        <w:gridCol w:w="817"/>
        <w:gridCol w:w="1537"/>
        <w:gridCol w:w="1738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56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积石山县中部人饮工程管理站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总 体 目 标</w:t>
            </w:r>
          </w:p>
        </w:tc>
        <w:tc>
          <w:tcPr>
            <w:tcW w:w="81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目标1：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人员工资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目标2：</w:t>
            </w:r>
          </w:p>
          <w:p>
            <w:pPr>
              <w:widowControl/>
              <w:spacing w:line="360" w:lineRule="exact"/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目标3：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 算 情 况（万元）</w:t>
            </w:r>
          </w:p>
        </w:tc>
        <w:tc>
          <w:tcPr>
            <w:tcW w:w="32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按支出类型分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按来源类型分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基本支出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人员经费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111.05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当年财政拨款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112.34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公用经费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1.30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上年结转资金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112.34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其他资金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项目支出</w:t>
            </w:r>
          </w:p>
        </w:tc>
        <w:tc>
          <w:tcPr>
            <w:tcW w:w="15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收入预算合计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112.34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支出预算合计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112.34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 效 指 标</w:t>
            </w: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部门管理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全年支出率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履职效果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能力建设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</w:tbl>
    <w:p/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544"/>
        <w:gridCol w:w="1497"/>
        <w:gridCol w:w="774"/>
        <w:gridCol w:w="25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3" w:type="pct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8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360" w:firstLineChars="2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both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5" w:type="pct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目标1：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目标2：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目标3：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1848"/>
        </w:tabs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D8A25C"/>
    <w:multiLevelType w:val="singleLevel"/>
    <w:tmpl w:val="32D8A25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NjA4NWMyY2Q3ZWJmMjI4MjYyZTIwOGQ0OGFmZmQ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1826A17"/>
    <w:rsid w:val="02693733"/>
    <w:rsid w:val="04642403"/>
    <w:rsid w:val="06155CFB"/>
    <w:rsid w:val="09616F12"/>
    <w:rsid w:val="0A56459C"/>
    <w:rsid w:val="0D95362E"/>
    <w:rsid w:val="0EE83C31"/>
    <w:rsid w:val="0F711E78"/>
    <w:rsid w:val="10F863AD"/>
    <w:rsid w:val="113741D2"/>
    <w:rsid w:val="13070B2A"/>
    <w:rsid w:val="164200CB"/>
    <w:rsid w:val="1AD80C83"/>
    <w:rsid w:val="1BB90E2F"/>
    <w:rsid w:val="1C964CCC"/>
    <w:rsid w:val="1D34261E"/>
    <w:rsid w:val="1F1620F4"/>
    <w:rsid w:val="1F4629DA"/>
    <w:rsid w:val="20C55B80"/>
    <w:rsid w:val="21E169EA"/>
    <w:rsid w:val="257A518B"/>
    <w:rsid w:val="25D53E1D"/>
    <w:rsid w:val="26321F0A"/>
    <w:rsid w:val="263C0693"/>
    <w:rsid w:val="27CE17BE"/>
    <w:rsid w:val="29E928DF"/>
    <w:rsid w:val="2A100117"/>
    <w:rsid w:val="2DEE0C22"/>
    <w:rsid w:val="2EEE2746"/>
    <w:rsid w:val="30703D5A"/>
    <w:rsid w:val="31077AEF"/>
    <w:rsid w:val="31CF549D"/>
    <w:rsid w:val="35944047"/>
    <w:rsid w:val="36EF34FF"/>
    <w:rsid w:val="3747333B"/>
    <w:rsid w:val="382B0567"/>
    <w:rsid w:val="38DB3D3B"/>
    <w:rsid w:val="38DD7AB3"/>
    <w:rsid w:val="3C7F70D3"/>
    <w:rsid w:val="3CFB0E50"/>
    <w:rsid w:val="40664832"/>
    <w:rsid w:val="4BE86A43"/>
    <w:rsid w:val="4DB82445"/>
    <w:rsid w:val="4F31425D"/>
    <w:rsid w:val="527E074E"/>
    <w:rsid w:val="55735EF8"/>
    <w:rsid w:val="558D41B7"/>
    <w:rsid w:val="579503FF"/>
    <w:rsid w:val="58690F0C"/>
    <w:rsid w:val="5D30024A"/>
    <w:rsid w:val="5ECC5D50"/>
    <w:rsid w:val="60535296"/>
    <w:rsid w:val="607F732C"/>
    <w:rsid w:val="636522D0"/>
    <w:rsid w:val="644665A5"/>
    <w:rsid w:val="6509133C"/>
    <w:rsid w:val="666B5E4F"/>
    <w:rsid w:val="69112CDD"/>
    <w:rsid w:val="6B657311"/>
    <w:rsid w:val="6DB91B96"/>
    <w:rsid w:val="718030F6"/>
    <w:rsid w:val="71B27028"/>
    <w:rsid w:val="72FD2525"/>
    <w:rsid w:val="7394437D"/>
    <w:rsid w:val="75575F1C"/>
    <w:rsid w:val="762D3121"/>
    <w:rsid w:val="78E52B1B"/>
    <w:rsid w:val="7A8F7F06"/>
    <w:rsid w:val="7C183F2B"/>
    <w:rsid w:val="7ED0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qFormat/>
    <w:uiPriority w:val="0"/>
    <w:pPr>
      <w:jc w:val="left"/>
    </w:p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autoRedefine/>
    <w:qFormat/>
    <w:uiPriority w:val="0"/>
    <w:rPr>
      <w:b/>
      <w:bCs/>
    </w:rPr>
  </w:style>
  <w:style w:type="character" w:styleId="10">
    <w:name w:val="line number"/>
    <w:autoRedefine/>
    <w:qFormat/>
    <w:uiPriority w:val="0"/>
  </w:style>
  <w:style w:type="character" w:styleId="11">
    <w:name w:val="annotation reference"/>
    <w:autoRedefine/>
    <w:qFormat/>
    <w:uiPriority w:val="0"/>
    <w:rPr>
      <w:sz w:val="21"/>
      <w:szCs w:val="21"/>
    </w:rPr>
  </w:style>
  <w:style w:type="character" w:customStyle="1" w:styleId="12">
    <w:name w:val="页脚 Char"/>
    <w:link w:val="5"/>
    <w:autoRedefine/>
    <w:qFormat/>
    <w:uiPriority w:val="0"/>
    <w:rPr>
      <w:sz w:val="18"/>
      <w:szCs w:val="18"/>
    </w:rPr>
  </w:style>
  <w:style w:type="character" w:customStyle="1" w:styleId="13">
    <w:name w:val="页眉 Char"/>
    <w:link w:val="6"/>
    <w:autoRedefine/>
    <w:qFormat/>
    <w:uiPriority w:val="0"/>
    <w:rPr>
      <w:sz w:val="18"/>
      <w:szCs w:val="18"/>
    </w:rPr>
  </w:style>
  <w:style w:type="paragraph" w:styleId="14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5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标题 1 Char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8">
    <w:name w:val="批注文字 Char"/>
    <w:link w:val="3"/>
    <w:autoRedefine/>
    <w:qFormat/>
    <w:uiPriority w:val="0"/>
    <w:rPr>
      <w:kern w:val="2"/>
      <w:sz w:val="21"/>
      <w:szCs w:val="22"/>
    </w:rPr>
  </w:style>
  <w:style w:type="character" w:customStyle="1" w:styleId="19">
    <w:name w:val="批注主题 Char"/>
    <w:link w:val="7"/>
    <w:autoRedefine/>
    <w:qFormat/>
    <w:uiPriority w:val="0"/>
    <w:rPr>
      <w:b/>
      <w:bCs/>
      <w:kern w:val="2"/>
      <w:sz w:val="21"/>
      <w:szCs w:val="22"/>
    </w:rPr>
  </w:style>
  <w:style w:type="character" w:customStyle="1" w:styleId="20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2">
    <w:name w:val="fontstyle1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3">
    <w:name w:val="fontstyle3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20</TotalTime>
  <ScaleCrop>false</ScaleCrop>
  <LinksUpToDate>false</LinksUpToDate>
  <CharactersWithSpaces>9630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平凡</cp:lastModifiedBy>
  <cp:lastPrinted>2024-02-18T02:23:00Z</cp:lastPrinted>
  <dcterms:modified xsi:type="dcterms:W3CDTF">2024-03-19T03:47:10Z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4746AA2B63644A919A7677ADD6665D0C</vt:lpwstr>
  </property>
</Properties>
</file>