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000000" w:themeColor="text1"/>
          <w:sz w:val="24"/>
          <w:szCs w:val="24"/>
          <w14:textFill>
            <w14:solidFill>
              <w14:schemeClr w14:val="tx1"/>
            </w14:solidFill>
          </w14:textFill>
        </w:rPr>
      </w:pPr>
      <w:r>
        <w:rPr>
          <w:rFonts w:hint="eastAsia" w:ascii="仿宋_GB2312" w:hAnsi="宋体" w:eastAsia="仿宋_GB2312" w:cs="宋体"/>
          <w:b/>
          <w:bCs/>
          <w:color w:val="000000" w:themeColor="text1"/>
          <w:sz w:val="24"/>
          <w:szCs w:val="24"/>
          <w14:textFill>
            <w14:solidFill>
              <w14:schemeClr w14:val="tx1"/>
            </w14:solidFill>
          </w14:textFill>
        </w:rPr>
        <w:t>附件1：</w:t>
      </w:r>
      <w:r>
        <w:rPr>
          <w:rFonts w:hint="eastAsia" w:ascii="仿宋_GB2312" w:hAnsi="宋体" w:eastAsia="仿宋_GB2312" w:cs="宋体"/>
          <w:b/>
          <w:bCs/>
          <w:color w:val="000000" w:themeColor="text1"/>
          <w:sz w:val="24"/>
          <w:szCs w:val="24"/>
          <w:lang w:eastAsia="zh-CN"/>
          <w14:textFill>
            <w14:solidFill>
              <w14:schemeClr w14:val="tx1"/>
            </w14:solidFill>
          </w14:textFill>
        </w:rPr>
        <w:t>积石山县交通运输局201</w:t>
      </w:r>
      <w:r>
        <w:rPr>
          <w:rFonts w:hint="eastAsia" w:ascii="仿宋_GB2312" w:hAnsi="宋体" w:eastAsia="仿宋_GB2312" w:cs="宋体"/>
          <w:b/>
          <w:bCs/>
          <w:color w:val="000000" w:themeColor="text1"/>
          <w:sz w:val="24"/>
          <w:szCs w:val="24"/>
          <w:lang w:val="en-US" w:eastAsia="zh-CN"/>
          <w14:textFill>
            <w14:solidFill>
              <w14:schemeClr w14:val="tx1"/>
            </w14:solidFill>
          </w14:textFill>
        </w:rPr>
        <w:t>9</w:t>
      </w:r>
      <w:r>
        <w:rPr>
          <w:rFonts w:hint="eastAsia" w:ascii="仿宋_GB2312" w:hAnsi="宋体" w:eastAsia="仿宋_GB2312" w:cs="宋体"/>
          <w:b/>
          <w:bCs/>
          <w:color w:val="000000" w:themeColor="text1"/>
          <w:sz w:val="24"/>
          <w:szCs w:val="24"/>
          <w:lang w:eastAsia="zh-CN"/>
          <w14:textFill>
            <w14:solidFill>
              <w14:schemeClr w14:val="tx1"/>
            </w14:solidFill>
          </w14:textFill>
        </w:rPr>
        <w:t>年</w:t>
      </w:r>
      <w:r>
        <w:rPr>
          <w:rFonts w:hint="eastAsia" w:ascii="仿宋_GB2312" w:hAnsi="宋体" w:eastAsia="仿宋_GB2312" w:cs="宋体"/>
          <w:b/>
          <w:bCs/>
          <w:color w:val="000000" w:themeColor="text1"/>
          <w:sz w:val="24"/>
          <w:szCs w:val="24"/>
          <w14:textFill>
            <w14:solidFill>
              <w14:schemeClr w14:val="tx1"/>
            </w14:solidFill>
          </w14:textFill>
        </w:rPr>
        <w:t>度</w:t>
      </w:r>
      <w:r>
        <w:rPr>
          <w:rFonts w:ascii="仿宋_GB2312" w:hAnsi="宋体" w:eastAsia="仿宋_GB2312" w:cs="宋体"/>
          <w:b/>
          <w:bCs/>
          <w:color w:val="000000" w:themeColor="text1"/>
          <w:sz w:val="24"/>
          <w:szCs w:val="24"/>
          <w14:textFill>
            <w14:solidFill>
              <w14:schemeClr w14:val="tx1"/>
            </w14:solidFill>
          </w14:textFill>
        </w:rPr>
        <w:t>部门决算情况说明</w:t>
      </w:r>
      <w:r>
        <w:rPr>
          <w:rFonts w:hint="eastAsia" w:ascii="仿宋_GB2312" w:hAnsi="宋体" w:eastAsia="仿宋_GB2312" w:cs="宋体"/>
          <w:b/>
          <w:bCs/>
          <w:color w:val="000000" w:themeColor="text1"/>
          <w:sz w:val="24"/>
          <w:szCs w:val="24"/>
          <w14:textFill>
            <w14:solidFill>
              <w14:schemeClr w14:val="tx1"/>
            </w14:solidFill>
          </w14:textFill>
        </w:rPr>
        <w:t>参考</w:t>
      </w:r>
      <w:r>
        <w:rPr>
          <w:rFonts w:ascii="仿宋_GB2312" w:hAnsi="宋体" w:eastAsia="仿宋_GB2312" w:cs="宋体"/>
          <w:b/>
          <w:bCs/>
          <w:color w:val="000000" w:themeColor="text1"/>
          <w:sz w:val="24"/>
          <w:szCs w:val="24"/>
          <w14:textFill>
            <w14:solidFill>
              <w14:schemeClr w14:val="tx1"/>
            </w14:solidFill>
          </w14:textFill>
        </w:rPr>
        <w:t>模板</w:t>
      </w:r>
    </w:p>
    <w:p>
      <w:pPr>
        <w:rPr>
          <w:color w:val="000000" w:themeColor="text1"/>
          <w14:textFill>
            <w14:solidFill>
              <w14:schemeClr w14:val="tx1"/>
            </w14:solidFill>
          </w14:textFill>
        </w:rPr>
      </w:pP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lang w:eastAsia="zh-CN"/>
          <w14:textFill>
            <w14:solidFill>
              <w14:schemeClr w14:val="tx1"/>
            </w14:solidFill>
          </w14:textFill>
        </w:rPr>
        <w:t>积石山县交通运输局201</w:t>
      </w:r>
      <w:r>
        <w:rPr>
          <w:rFonts w:hint="eastAsia" w:ascii="方正小标宋简体" w:eastAsia="方正小标宋简体"/>
          <w:color w:val="000000" w:themeColor="text1"/>
          <w:sz w:val="36"/>
          <w:szCs w:val="36"/>
          <w:lang w:val="en-US" w:eastAsia="zh-CN"/>
          <w14:textFill>
            <w14:solidFill>
              <w14:schemeClr w14:val="tx1"/>
            </w14:solidFill>
          </w14:textFill>
        </w:rPr>
        <w:t>9</w:t>
      </w:r>
      <w:r>
        <w:rPr>
          <w:rFonts w:hint="eastAsia" w:ascii="方正小标宋简体" w:eastAsia="方正小标宋简体"/>
          <w:color w:val="000000" w:themeColor="text1"/>
          <w:sz w:val="36"/>
          <w:szCs w:val="36"/>
          <w:lang w:eastAsia="zh-CN"/>
          <w14:textFill>
            <w14:solidFill>
              <w14:schemeClr w14:val="tx1"/>
            </w14:solidFill>
          </w14:textFill>
        </w:rPr>
        <w:t>年</w:t>
      </w:r>
      <w:bookmarkStart w:id="0" w:name="_GoBack"/>
      <w:bookmarkEnd w:id="0"/>
      <w:r>
        <w:rPr>
          <w:rFonts w:hint="eastAsia" w:ascii="方正小标宋简体" w:eastAsia="方正小标宋简体"/>
          <w:color w:val="000000" w:themeColor="text1"/>
          <w:sz w:val="36"/>
          <w:szCs w:val="36"/>
          <w14:textFill>
            <w14:solidFill>
              <w14:schemeClr w14:val="tx1"/>
            </w14:solidFill>
          </w14:textFill>
        </w:rPr>
        <w:t>度部门决算情况说明</w:t>
      </w:r>
    </w:p>
    <w:p>
      <w:pPr>
        <w:rPr>
          <w:rFonts w:ascii="仿宋_GB2312" w:eastAsia="仿宋_GB2312"/>
          <w:color w:val="000000" w:themeColor="text1"/>
          <w:sz w:val="30"/>
          <w:szCs w:val="30"/>
          <w14:textFill>
            <w14:solidFill>
              <w14:schemeClr w14:val="tx1"/>
            </w14:solidFill>
          </w14:textFill>
        </w:rPr>
      </w:pP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一、部门基本情况</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（一）职能职责</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贯彻执行国家和省、州有关交通运输工作的方针、政策、法律法规，拟订全县公路、水路、城市交通运输行业发展战略、方针、政策并监督执行。</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2、</w:t>
      </w:r>
      <w:r>
        <w:rPr>
          <w:rFonts w:hint="eastAsia" w:ascii="仿宋_GB2312" w:eastAsia="仿宋_GB2312"/>
          <w:color w:val="000000" w:themeColor="text1"/>
          <w:sz w:val="30"/>
          <w:szCs w:val="30"/>
          <w14:textFill>
            <w14:solidFill>
              <w14:schemeClr w14:val="tx1"/>
            </w14:solidFill>
          </w14:textFill>
        </w:rPr>
        <w:t>承担涉及综合运输体系的规划协调工作，组织编制综合运输体系规划；负责编制全县公路、水路交通运输行业的发展规划、中长期计划和年度计划并组织实施；负责全县道路运输站场、</w:t>
      </w:r>
    </w:p>
    <w:p>
      <w:pPr>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码头布局规划；负责全县交通运输行业统计、发展预测、经济运行分析和信息引导工作；拟订物流业发展规划、有关政策和标准并监督实施。</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3、</w:t>
      </w:r>
      <w:r>
        <w:rPr>
          <w:rFonts w:hint="eastAsia" w:ascii="仿宋_GB2312" w:eastAsia="仿宋_GB2312"/>
          <w:color w:val="000000" w:themeColor="text1"/>
          <w:sz w:val="30"/>
          <w:szCs w:val="30"/>
          <w14:textFill>
            <w14:solidFill>
              <w14:schemeClr w14:val="tx1"/>
            </w14:solidFill>
          </w14:textFill>
        </w:rPr>
        <w:t>负责全县道路、水路交通运输市场监督管理；执行道路、水路运输有关政策、准入制度、技术标准和运营规范并监督实施；指导全县城市及农村客货运输管理、出租汽车行业管理、城市</w:t>
      </w:r>
    </w:p>
    <w:p>
      <w:pPr>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交通的运营管理，参与城市交通规划工作；组织重点物资运输和救灾、节日运输等紧急客货运输。</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4、</w:t>
      </w:r>
      <w:r>
        <w:rPr>
          <w:rFonts w:hint="eastAsia" w:ascii="仿宋_GB2312" w:eastAsia="仿宋_GB2312"/>
          <w:color w:val="000000" w:themeColor="text1"/>
          <w:sz w:val="30"/>
          <w:szCs w:val="30"/>
          <w14:textFill>
            <w14:solidFill>
              <w14:schemeClr w14:val="tx1"/>
            </w14:solidFill>
          </w14:textFill>
        </w:rPr>
        <w:t>负责组织全县公路、水路等综合运输基础设施的建设、维护和管理；负责重点交通基础设施项目的计划编制、前期工作、项目实施和竣工验收；负责客货运输站场、码头及航道建设与管</w:t>
      </w:r>
    </w:p>
    <w:p>
      <w:pPr>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理。</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5、</w:t>
      </w:r>
      <w:r>
        <w:rPr>
          <w:rFonts w:hint="eastAsia" w:ascii="仿宋_GB2312" w:eastAsia="仿宋_GB2312"/>
          <w:color w:val="000000" w:themeColor="text1"/>
          <w:sz w:val="30"/>
          <w:szCs w:val="30"/>
          <w14:textFill>
            <w14:solidFill>
              <w14:schemeClr w14:val="tx1"/>
            </w14:solidFill>
          </w14:textFill>
        </w:rPr>
        <w:t>负责全县交通基础设施建设市场监督管理；执行公路、水路工程建设相关政策、制度和技术标准并监督实施；负责全县交通基础设施工程质量监督、工程定额、工程造价和工程招投标工作的行业管理。</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6、</w:t>
      </w:r>
      <w:r>
        <w:rPr>
          <w:rFonts w:hint="eastAsia" w:ascii="仿宋_GB2312" w:eastAsia="仿宋_GB2312"/>
          <w:color w:val="000000" w:themeColor="text1"/>
          <w:sz w:val="30"/>
          <w:szCs w:val="30"/>
          <w14:textFill>
            <w14:solidFill>
              <w14:schemeClr w14:val="tx1"/>
            </w14:solidFill>
          </w14:textFill>
        </w:rPr>
        <w:t>负责局属单位劳动工资、人事调动、岗位规范、职称评聘的计划和审核上报等管理工作。</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7、</w:t>
      </w:r>
      <w:r>
        <w:rPr>
          <w:rFonts w:hint="eastAsia" w:ascii="仿宋_GB2312" w:eastAsia="仿宋_GB2312"/>
          <w:color w:val="000000" w:themeColor="text1"/>
          <w:sz w:val="30"/>
          <w:szCs w:val="30"/>
          <w14:textFill>
            <w14:solidFill>
              <w14:schemeClr w14:val="tx1"/>
            </w14:solidFill>
          </w14:textFill>
        </w:rPr>
        <w:t>指导全县交通运输行业体制改革，拟订地方性交通法规规章；负责全县交通运输行政执法、执法监督、行政诉讼、行政复议及交通法制宣传教育。</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8、</w:t>
      </w:r>
      <w:r>
        <w:rPr>
          <w:rFonts w:hint="eastAsia" w:ascii="仿宋_GB2312" w:eastAsia="仿宋_GB2312"/>
          <w:color w:val="000000" w:themeColor="text1"/>
          <w:sz w:val="30"/>
          <w:szCs w:val="30"/>
          <w14:textFill>
            <w14:solidFill>
              <w14:schemeClr w14:val="tx1"/>
            </w14:solidFill>
          </w14:textFill>
        </w:rPr>
        <w:t>负责全县道路运输、水路运输和公路、水运工程安全生产监督管理、指导和组织实施公路、水路行业应急管理工作；依法对交通运输行业生产经营进行安全生产监督检查。</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负责全县交通运输行业国防交通保障和民用运力动员、科技管理、节能减排、信息化建设与管理、社会治安综合治理工作。</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10、</w:t>
      </w:r>
      <w:r>
        <w:rPr>
          <w:rFonts w:hint="eastAsia" w:ascii="仿宋_GB2312" w:eastAsia="仿宋_GB2312"/>
          <w:color w:val="000000" w:themeColor="text1"/>
          <w:sz w:val="30"/>
          <w:szCs w:val="30"/>
          <w14:textFill>
            <w14:solidFill>
              <w14:schemeClr w14:val="tx1"/>
            </w14:solidFill>
          </w14:textFill>
        </w:rPr>
        <w:t>指导全县交通运输信息化建设和交通运输业科技、环保等工作。</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11、</w:t>
      </w:r>
      <w:r>
        <w:rPr>
          <w:rFonts w:hint="eastAsia" w:ascii="仿宋_GB2312" w:eastAsia="仿宋_GB2312"/>
          <w:color w:val="000000" w:themeColor="text1"/>
          <w:sz w:val="30"/>
          <w:szCs w:val="30"/>
          <w14:textFill>
            <w14:solidFill>
              <w14:schemeClr w14:val="tx1"/>
            </w14:solidFill>
          </w14:textFill>
        </w:rPr>
        <w:t>指导全县交通运输应急管理工作，承担全县交通运输战备有关工作。</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12、</w:t>
      </w:r>
      <w:r>
        <w:rPr>
          <w:rFonts w:hint="eastAsia" w:ascii="仿宋_GB2312" w:eastAsia="仿宋_GB2312"/>
          <w:color w:val="000000" w:themeColor="text1"/>
          <w:sz w:val="30"/>
          <w:szCs w:val="30"/>
          <w14:textFill>
            <w14:solidFill>
              <w14:schemeClr w14:val="tx1"/>
            </w14:solidFill>
          </w14:textFill>
        </w:rPr>
        <w:t>负责全县交通人才队伍建设、精神文明建设和廉政建设。</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13、</w:t>
      </w:r>
      <w:r>
        <w:rPr>
          <w:rFonts w:hint="eastAsia" w:ascii="仿宋_GB2312" w:eastAsia="仿宋_GB2312"/>
          <w:color w:val="000000" w:themeColor="text1"/>
          <w:sz w:val="30"/>
          <w:szCs w:val="30"/>
          <w14:textFill>
            <w14:solidFill>
              <w14:schemeClr w14:val="tx1"/>
            </w14:solidFill>
          </w14:textFill>
        </w:rPr>
        <w:t>承办县委、县政府和州交通运输局交办的其他事项。</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（二）机构设置</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积石山县交通局</w:t>
      </w:r>
      <w:r>
        <w:rPr>
          <w:rFonts w:hint="eastAsia" w:ascii="仿宋_GB2312" w:eastAsia="仿宋_GB2312"/>
          <w:color w:val="000000" w:themeColor="text1"/>
          <w:sz w:val="30"/>
          <w:szCs w:val="30"/>
          <w:lang w:eastAsia="zh-CN"/>
          <w14:textFill>
            <w14:solidFill>
              <w14:schemeClr w14:val="tx1"/>
            </w14:solidFill>
          </w14:textFill>
        </w:rPr>
        <w:t>为</w:t>
      </w:r>
      <w:r>
        <w:rPr>
          <w:rFonts w:hint="eastAsia" w:ascii="仿宋_GB2312" w:eastAsia="仿宋_GB2312"/>
          <w:color w:val="000000" w:themeColor="text1"/>
          <w:sz w:val="30"/>
          <w:szCs w:val="30"/>
          <w14:textFill>
            <w14:solidFill>
              <w14:schemeClr w14:val="tx1"/>
            </w14:solidFill>
          </w14:textFill>
        </w:rPr>
        <w:t>财政全额拨款</w:t>
      </w:r>
      <w:r>
        <w:rPr>
          <w:rFonts w:hint="eastAsia" w:ascii="仿宋_GB2312" w:eastAsia="仿宋_GB2312"/>
          <w:color w:val="000000" w:themeColor="text1"/>
          <w:sz w:val="30"/>
          <w:szCs w:val="30"/>
          <w:lang w:eastAsia="zh-CN"/>
          <w14:textFill>
            <w14:solidFill>
              <w14:schemeClr w14:val="tx1"/>
            </w14:solidFill>
          </w14:textFill>
        </w:rPr>
        <w:t>行政</w:t>
      </w:r>
      <w:r>
        <w:rPr>
          <w:rFonts w:hint="eastAsia" w:ascii="仿宋_GB2312" w:eastAsia="仿宋_GB2312"/>
          <w:color w:val="000000" w:themeColor="text1"/>
          <w:sz w:val="30"/>
          <w:szCs w:val="30"/>
          <w14:textFill>
            <w14:solidFill>
              <w14:schemeClr w14:val="tx1"/>
            </w14:solidFill>
          </w14:textFill>
        </w:rPr>
        <w:t>单位。</w:t>
      </w:r>
      <w:r>
        <w:rPr>
          <w:rFonts w:hint="eastAsia" w:ascii="仿宋_GB2312" w:eastAsia="仿宋_GB2312"/>
          <w:color w:val="000000" w:themeColor="text1"/>
          <w:sz w:val="30"/>
          <w:szCs w:val="30"/>
          <w:lang w:eastAsia="zh-CN"/>
          <w14:textFill>
            <w14:solidFill>
              <w14:schemeClr w14:val="tx1"/>
            </w14:solidFill>
          </w14:textFill>
        </w:rPr>
        <w:t>实有人数</w:t>
      </w:r>
      <w:r>
        <w:rPr>
          <w:rFonts w:hint="eastAsia" w:ascii="仿宋_GB2312" w:eastAsia="仿宋_GB2312"/>
          <w:color w:val="000000" w:themeColor="text1"/>
          <w:sz w:val="30"/>
          <w:szCs w:val="30"/>
          <w:lang w:val="en-US" w:eastAsia="zh-CN"/>
          <w14:textFill>
            <w14:solidFill>
              <w14:schemeClr w14:val="tx1"/>
            </w14:solidFill>
          </w14:textFill>
        </w:rPr>
        <w:t>56人编制数57人，其中：</w:t>
      </w:r>
      <w:r>
        <w:rPr>
          <w:rFonts w:hint="eastAsia" w:ascii="仿宋_GB2312" w:eastAsia="仿宋_GB2312"/>
          <w:color w:val="000000" w:themeColor="text1"/>
          <w:sz w:val="30"/>
          <w:szCs w:val="30"/>
          <w14:textFill>
            <w14:solidFill>
              <w14:schemeClr w14:val="tx1"/>
            </w14:solidFill>
          </w14:textFill>
        </w:rPr>
        <w:t>行政编制</w:t>
      </w:r>
      <w:r>
        <w:rPr>
          <w:rFonts w:hint="eastAsia" w:ascii="仿宋_GB2312" w:eastAsia="仿宋_GB2312"/>
          <w:color w:val="000000" w:themeColor="text1"/>
          <w:sz w:val="30"/>
          <w:szCs w:val="30"/>
          <w:lang w:val="en-US" w:eastAsia="zh-CN"/>
          <w14:textFill>
            <w14:solidFill>
              <w14:schemeClr w14:val="tx1"/>
            </w14:solidFill>
          </w14:textFill>
        </w:rPr>
        <w:t>10</w:t>
      </w:r>
      <w:r>
        <w:rPr>
          <w:rFonts w:hint="eastAsia" w:ascii="仿宋_GB2312" w:eastAsia="仿宋_GB2312"/>
          <w:color w:val="000000" w:themeColor="text1"/>
          <w:sz w:val="30"/>
          <w:szCs w:val="30"/>
          <w14:textFill>
            <w14:solidFill>
              <w14:schemeClr w14:val="tx1"/>
            </w14:solidFill>
          </w14:textFill>
        </w:rPr>
        <w:t>名</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事业编制</w:t>
      </w:r>
      <w:r>
        <w:rPr>
          <w:rFonts w:hint="eastAsia" w:ascii="仿宋_GB2312" w:eastAsia="仿宋_GB2312"/>
          <w:color w:val="000000" w:themeColor="text1"/>
          <w:sz w:val="30"/>
          <w:szCs w:val="30"/>
          <w:lang w:val="en-US" w:eastAsia="zh-CN"/>
          <w14:textFill>
            <w14:solidFill>
              <w14:schemeClr w14:val="tx1"/>
            </w14:solidFill>
          </w14:textFill>
        </w:rPr>
        <w:t>47</w:t>
      </w:r>
      <w:r>
        <w:rPr>
          <w:rFonts w:hint="eastAsia" w:ascii="仿宋_GB2312" w:eastAsia="仿宋_GB2312"/>
          <w:color w:val="000000" w:themeColor="text1"/>
          <w:sz w:val="30"/>
          <w:szCs w:val="30"/>
          <w14:textFill>
            <w14:solidFill>
              <w14:schemeClr w14:val="tx1"/>
            </w14:solidFill>
          </w14:textFill>
        </w:rPr>
        <w:t>名。单位下设人事秘书股、财务股、综合规划股、建设管理股、安全监督股等 5 个股室</w:t>
      </w:r>
      <w:r>
        <w:rPr>
          <w:rFonts w:hint="eastAsia" w:ascii="仿宋_GB2312" w:eastAsia="仿宋_GB2312"/>
          <w:color w:val="000000" w:themeColor="text1"/>
          <w:sz w:val="30"/>
          <w:szCs w:val="30"/>
          <w:lang w:eastAsia="zh-CN"/>
          <w14:textFill>
            <w14:solidFill>
              <w14:schemeClr w14:val="tx1"/>
            </w14:solidFill>
          </w14:textFill>
        </w:rPr>
        <w:t>。</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w:t>
      </w:r>
      <w:r>
        <w:rPr>
          <w:rFonts w:hint="eastAsia" w:ascii="黑体" w:hAnsi="黑体" w:eastAsia="黑体"/>
          <w:color w:val="000000" w:themeColor="text1"/>
          <w:sz w:val="30"/>
          <w:szCs w:val="30"/>
          <w:lang w:eastAsia="zh-CN"/>
          <w14:textFill>
            <w14:solidFill>
              <w14:schemeClr w14:val="tx1"/>
            </w14:solidFill>
          </w14:textFill>
        </w:rPr>
        <w:t>201</w:t>
      </w:r>
      <w:r>
        <w:rPr>
          <w:rFonts w:hint="eastAsia" w:ascii="黑体" w:hAnsi="黑体" w:eastAsia="黑体"/>
          <w:color w:val="000000" w:themeColor="text1"/>
          <w:sz w:val="30"/>
          <w:szCs w:val="30"/>
          <w:lang w:val="en-US" w:eastAsia="zh-CN"/>
          <w14:textFill>
            <w14:solidFill>
              <w14:schemeClr w14:val="tx1"/>
            </w14:solidFill>
          </w14:textFill>
        </w:rPr>
        <w:t>9</w:t>
      </w:r>
      <w:r>
        <w:rPr>
          <w:rFonts w:hint="eastAsia" w:ascii="黑体" w:hAnsi="黑体" w:eastAsia="黑体"/>
          <w:color w:val="000000" w:themeColor="text1"/>
          <w:sz w:val="30"/>
          <w:szCs w:val="30"/>
          <w:lang w:eastAsia="zh-CN"/>
          <w14:textFill>
            <w14:solidFill>
              <w14:schemeClr w14:val="tx1"/>
            </w14:solidFill>
          </w14:textFill>
        </w:rPr>
        <w:t>年</w:t>
      </w:r>
      <w:r>
        <w:rPr>
          <w:rFonts w:hint="eastAsia" w:ascii="黑体" w:hAnsi="黑体" w:eastAsia="黑体"/>
          <w:color w:val="000000" w:themeColor="text1"/>
          <w:sz w:val="30"/>
          <w:szCs w:val="30"/>
          <w14:textFill>
            <w14:solidFill>
              <w14:schemeClr w14:val="tx1"/>
            </w14:solidFill>
          </w14:textFill>
        </w:rPr>
        <w:t>度部门决算报表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表一：收入支出决算总表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表二：收入决算表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表三：支出决算表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表四：财政拨款收入支出决算总表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表五：一般公共预算财政拨款支出决算表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表六：一般公共预算财政拨款基本支出决算表</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表七：一般公共预算财政拨款“三公”经费支出决算</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表八：表政府性基金预算财政拨款收入支出决算表</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三、</w:t>
      </w:r>
      <w:r>
        <w:rPr>
          <w:rFonts w:hint="eastAsia" w:ascii="黑体" w:hAnsi="黑体" w:eastAsia="黑体"/>
          <w:color w:val="000000" w:themeColor="text1"/>
          <w:sz w:val="30"/>
          <w:szCs w:val="30"/>
          <w:lang w:eastAsia="zh-CN"/>
          <w14:textFill>
            <w14:solidFill>
              <w14:schemeClr w14:val="tx1"/>
            </w14:solidFill>
          </w14:textFill>
        </w:rPr>
        <w:t>201</w:t>
      </w:r>
      <w:r>
        <w:rPr>
          <w:rFonts w:hint="eastAsia" w:ascii="黑体" w:hAnsi="黑体" w:eastAsia="黑体"/>
          <w:color w:val="000000" w:themeColor="text1"/>
          <w:sz w:val="30"/>
          <w:szCs w:val="30"/>
          <w:lang w:val="en-US" w:eastAsia="zh-CN"/>
          <w14:textFill>
            <w14:solidFill>
              <w14:schemeClr w14:val="tx1"/>
            </w14:solidFill>
          </w14:textFill>
        </w:rPr>
        <w:t>9</w:t>
      </w:r>
      <w:r>
        <w:rPr>
          <w:rFonts w:hint="eastAsia" w:ascii="黑体" w:hAnsi="黑体" w:eastAsia="黑体"/>
          <w:color w:val="000000" w:themeColor="text1"/>
          <w:sz w:val="30"/>
          <w:szCs w:val="30"/>
          <w:lang w:eastAsia="zh-CN"/>
          <w14:textFill>
            <w14:solidFill>
              <w14:schemeClr w14:val="tx1"/>
            </w14:solidFill>
          </w14:textFill>
        </w:rPr>
        <w:t>年</w:t>
      </w:r>
      <w:r>
        <w:rPr>
          <w:rFonts w:hint="eastAsia" w:ascii="黑体" w:hAnsi="黑体" w:eastAsia="黑体"/>
          <w:color w:val="000000" w:themeColor="text1"/>
          <w:sz w:val="30"/>
          <w:szCs w:val="30"/>
          <w14:textFill>
            <w14:solidFill>
              <w14:schemeClr w14:val="tx1"/>
            </w14:solidFill>
          </w14:textFill>
        </w:rPr>
        <w:t>度部门决算情况说明</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（一）收入支出决算总体情况说明</w:t>
      </w:r>
    </w:p>
    <w:p>
      <w:pPr>
        <w:ind w:firstLine="600" w:firstLineChars="200"/>
        <w:rPr>
          <w:rFonts w:hint="eastAsia" w:ascii="仿宋_GB2312" w:eastAsia="仿宋_GB2312"/>
          <w:color w:val="000000" w:themeColor="text1"/>
          <w:sz w:val="30"/>
          <w:szCs w:val="30"/>
          <w:highlight w:val="none"/>
          <w:lang w:eastAsia="zh-CN"/>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 xml:space="preserve"> 本部门</w:t>
      </w:r>
      <w:r>
        <w:rPr>
          <w:rFonts w:hint="eastAsia" w:ascii="仿宋_GB2312" w:eastAsia="仿宋_GB2312"/>
          <w:color w:val="000000" w:themeColor="text1"/>
          <w:sz w:val="30"/>
          <w:szCs w:val="30"/>
          <w:highlight w:val="none"/>
          <w:lang w:eastAsia="zh-CN"/>
          <w14:textFill>
            <w14:solidFill>
              <w14:schemeClr w14:val="tx1"/>
            </w14:solidFill>
          </w14:textFill>
        </w:rPr>
        <w:t>201</w:t>
      </w:r>
      <w:r>
        <w:rPr>
          <w:rFonts w:hint="eastAsia" w:ascii="仿宋_GB2312" w:eastAsia="仿宋_GB2312"/>
          <w:color w:val="000000" w:themeColor="text1"/>
          <w:sz w:val="30"/>
          <w:szCs w:val="30"/>
          <w:highlight w:val="none"/>
          <w:lang w:val="en-US" w:eastAsia="zh-CN"/>
          <w14:textFill>
            <w14:solidFill>
              <w14:schemeClr w14:val="tx1"/>
            </w14:solidFill>
          </w14:textFill>
        </w:rPr>
        <w:t>9</w:t>
      </w:r>
      <w:r>
        <w:rPr>
          <w:rFonts w:hint="eastAsia" w:ascii="仿宋_GB2312" w:eastAsia="仿宋_GB2312"/>
          <w:color w:val="000000" w:themeColor="text1"/>
          <w:sz w:val="30"/>
          <w:szCs w:val="30"/>
          <w:highlight w:val="none"/>
          <w:lang w:eastAsia="zh-CN"/>
          <w14:textFill>
            <w14:solidFill>
              <w14:schemeClr w14:val="tx1"/>
            </w14:solidFill>
          </w14:textFill>
        </w:rPr>
        <w:t>年</w:t>
      </w:r>
      <w:r>
        <w:rPr>
          <w:rFonts w:hint="eastAsia" w:ascii="仿宋_GB2312" w:eastAsia="仿宋_GB2312"/>
          <w:color w:val="000000" w:themeColor="text1"/>
          <w:sz w:val="30"/>
          <w:szCs w:val="30"/>
          <w:highlight w:val="none"/>
          <w14:textFill>
            <w14:solidFill>
              <w14:schemeClr w14:val="tx1"/>
            </w14:solidFill>
          </w14:textFill>
        </w:rPr>
        <w:t>度收入总计</w:t>
      </w:r>
      <w:r>
        <w:rPr>
          <w:rFonts w:hint="eastAsia" w:ascii="仿宋_GB2312" w:eastAsia="仿宋_GB2312"/>
          <w:color w:val="000000" w:themeColor="text1"/>
          <w:sz w:val="30"/>
          <w:szCs w:val="30"/>
          <w:highlight w:val="none"/>
          <w:lang w:val="en-US" w:eastAsia="zh-CN"/>
          <w14:textFill>
            <w14:solidFill>
              <w14:schemeClr w14:val="tx1"/>
            </w14:solidFill>
          </w14:textFill>
        </w:rPr>
        <w:t>156631481.38</w:t>
      </w:r>
      <w:r>
        <w:rPr>
          <w:rFonts w:hint="eastAsia" w:ascii="仿宋_GB2312" w:eastAsia="仿宋_GB2312"/>
          <w:color w:val="000000" w:themeColor="text1"/>
          <w:sz w:val="30"/>
          <w:szCs w:val="30"/>
          <w:highlight w:val="none"/>
          <w:lang w:eastAsia="zh-CN"/>
          <w14:textFill>
            <w14:solidFill>
              <w14:schemeClr w14:val="tx1"/>
            </w14:solidFill>
          </w14:textFill>
        </w:rPr>
        <w:t>元</w:t>
      </w:r>
      <w:r>
        <w:rPr>
          <w:rFonts w:hint="eastAsia" w:ascii="仿宋_GB2312" w:eastAsia="仿宋_GB2312"/>
          <w:color w:val="000000" w:themeColor="text1"/>
          <w:sz w:val="30"/>
          <w:szCs w:val="30"/>
          <w:highlight w:val="none"/>
          <w14:textFill>
            <w14:solidFill>
              <w14:schemeClr w14:val="tx1"/>
            </w14:solidFill>
          </w14:textFill>
        </w:rPr>
        <w:t>，支出总计</w:t>
      </w:r>
      <w:r>
        <w:rPr>
          <w:rFonts w:hint="eastAsia" w:ascii="仿宋_GB2312" w:eastAsia="仿宋_GB2312"/>
          <w:color w:val="000000" w:themeColor="text1"/>
          <w:sz w:val="30"/>
          <w:szCs w:val="30"/>
          <w:highlight w:val="none"/>
          <w:lang w:val="en-US" w:eastAsia="zh-CN"/>
          <w14:textFill>
            <w14:solidFill>
              <w14:schemeClr w14:val="tx1"/>
            </w14:solidFill>
          </w14:textFill>
        </w:rPr>
        <w:t>156631481.38</w:t>
      </w:r>
      <w:r>
        <w:rPr>
          <w:rFonts w:hint="eastAsia" w:ascii="仿宋_GB2312" w:eastAsia="仿宋_GB2312"/>
          <w:color w:val="000000" w:themeColor="text1"/>
          <w:sz w:val="30"/>
          <w:szCs w:val="30"/>
          <w:highlight w:val="none"/>
          <w:lang w:eastAsia="zh-CN"/>
          <w14:textFill>
            <w14:solidFill>
              <w14:schemeClr w14:val="tx1"/>
            </w14:solidFill>
          </w14:textFill>
        </w:rPr>
        <w:t>元</w:t>
      </w:r>
      <w:r>
        <w:rPr>
          <w:rFonts w:hint="eastAsia" w:ascii="仿宋_GB2312" w:eastAsia="仿宋_GB2312"/>
          <w:color w:val="000000" w:themeColor="text1"/>
          <w:sz w:val="30"/>
          <w:szCs w:val="30"/>
          <w:highlight w:val="none"/>
          <w14:textFill>
            <w14:solidFill>
              <w14:schemeClr w14:val="tx1"/>
            </w14:solidFill>
          </w14:textFill>
        </w:rPr>
        <w:t>。与201</w:t>
      </w:r>
      <w:r>
        <w:rPr>
          <w:rFonts w:hint="eastAsia" w:ascii="仿宋_GB2312" w:eastAsia="仿宋_GB2312"/>
          <w:color w:val="000000" w:themeColor="text1"/>
          <w:sz w:val="30"/>
          <w:szCs w:val="30"/>
          <w:highlight w:val="none"/>
          <w:lang w:val="en-US" w:eastAsia="zh-CN"/>
          <w14:textFill>
            <w14:solidFill>
              <w14:schemeClr w14:val="tx1"/>
            </w14:solidFill>
          </w14:textFill>
        </w:rPr>
        <w:t>8</w:t>
      </w:r>
      <w:r>
        <w:rPr>
          <w:rFonts w:hint="eastAsia" w:ascii="仿宋_GB2312" w:eastAsia="仿宋_GB2312"/>
          <w:color w:val="000000" w:themeColor="text1"/>
          <w:sz w:val="30"/>
          <w:szCs w:val="30"/>
          <w:highlight w:val="none"/>
          <w14:textFill>
            <w14:solidFill>
              <w14:schemeClr w14:val="tx1"/>
            </w14:solidFill>
          </w14:textFill>
        </w:rPr>
        <w:t>年决算数相比，收入</w:t>
      </w:r>
      <w:r>
        <w:rPr>
          <w:rFonts w:hint="eastAsia" w:ascii="仿宋_GB2312" w:eastAsia="仿宋_GB2312"/>
          <w:color w:val="000000" w:themeColor="text1"/>
          <w:sz w:val="30"/>
          <w:szCs w:val="30"/>
          <w:highlight w:val="none"/>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118682874.08</w:t>
      </w:r>
      <w:r>
        <w:rPr>
          <w:rFonts w:hint="eastAsia" w:ascii="仿宋_GB2312" w:eastAsia="仿宋_GB2312"/>
          <w:color w:val="000000" w:themeColor="text1"/>
          <w:sz w:val="30"/>
          <w:szCs w:val="30"/>
          <w:highlight w:val="none"/>
          <w:lang w:eastAsia="zh-CN"/>
          <w14:textFill>
            <w14:solidFill>
              <w14:schemeClr w14:val="tx1"/>
            </w14:solidFill>
          </w14:textFill>
        </w:rPr>
        <w:t>元</w:t>
      </w:r>
      <w:r>
        <w:rPr>
          <w:rFonts w:hint="eastAsia" w:ascii="仿宋_GB2312" w:eastAsia="仿宋_GB2312"/>
          <w:color w:val="000000" w:themeColor="text1"/>
          <w:sz w:val="30"/>
          <w:szCs w:val="30"/>
          <w:highlight w:val="none"/>
          <w14:textFill>
            <w14:solidFill>
              <w14:schemeClr w14:val="tx1"/>
            </w14:solidFill>
          </w14:textFill>
        </w:rPr>
        <w:t>，</w:t>
      </w:r>
      <w:r>
        <w:rPr>
          <w:rFonts w:hint="eastAsia" w:ascii="仿宋_GB2312" w:eastAsia="仿宋_GB2312"/>
          <w:color w:val="000000" w:themeColor="text1"/>
          <w:sz w:val="30"/>
          <w:szCs w:val="30"/>
          <w:highlight w:val="none"/>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312.7</w:t>
      </w:r>
      <w:r>
        <w:rPr>
          <w:rFonts w:hint="eastAsia" w:ascii="仿宋_GB2312" w:eastAsia="仿宋_GB2312"/>
          <w:color w:val="000000" w:themeColor="text1"/>
          <w:sz w:val="30"/>
          <w:szCs w:val="30"/>
          <w:highlight w:val="none"/>
          <w14:textFill>
            <w14:solidFill>
              <w14:schemeClr w14:val="tx1"/>
            </w14:solidFill>
          </w14:textFill>
        </w:rPr>
        <w:t>%，支出</w:t>
      </w:r>
      <w:r>
        <w:rPr>
          <w:rFonts w:hint="eastAsia" w:ascii="仿宋_GB2312" w:eastAsia="仿宋_GB2312"/>
          <w:color w:val="000000" w:themeColor="text1"/>
          <w:sz w:val="30"/>
          <w:szCs w:val="30"/>
          <w:highlight w:val="none"/>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118682874.08</w:t>
      </w:r>
      <w:r>
        <w:rPr>
          <w:rFonts w:hint="eastAsia" w:ascii="仿宋_GB2312" w:eastAsia="仿宋_GB2312"/>
          <w:color w:val="000000" w:themeColor="text1"/>
          <w:sz w:val="30"/>
          <w:szCs w:val="30"/>
          <w:highlight w:val="none"/>
          <w:lang w:eastAsia="zh-CN"/>
          <w14:textFill>
            <w14:solidFill>
              <w14:schemeClr w14:val="tx1"/>
            </w14:solidFill>
          </w14:textFill>
        </w:rPr>
        <w:t>元</w:t>
      </w:r>
      <w:r>
        <w:rPr>
          <w:rFonts w:ascii="仿宋_GB2312" w:eastAsia="仿宋_GB2312"/>
          <w:color w:val="000000" w:themeColor="text1"/>
          <w:sz w:val="30"/>
          <w:szCs w:val="30"/>
          <w:highlight w:val="none"/>
          <w14:textFill>
            <w14:solidFill>
              <w14:schemeClr w14:val="tx1"/>
            </w14:solidFill>
          </w14:textFill>
        </w:rPr>
        <w:t>，</w:t>
      </w:r>
      <w:r>
        <w:rPr>
          <w:rFonts w:hint="eastAsia" w:ascii="仿宋_GB2312" w:eastAsia="仿宋_GB2312"/>
          <w:color w:val="000000" w:themeColor="text1"/>
          <w:sz w:val="30"/>
          <w:szCs w:val="30"/>
          <w:highlight w:val="none"/>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312.7</w:t>
      </w:r>
      <w:r>
        <w:rPr>
          <w:rFonts w:hint="eastAsia" w:ascii="仿宋_GB2312" w:eastAsia="仿宋_GB2312"/>
          <w:color w:val="000000" w:themeColor="text1"/>
          <w:sz w:val="30"/>
          <w:szCs w:val="30"/>
          <w:highlight w:val="none"/>
          <w14:textFill>
            <w14:solidFill>
              <w14:schemeClr w14:val="tx1"/>
            </w14:solidFill>
          </w14:textFill>
        </w:rPr>
        <w:t>%。主要原因是</w:t>
      </w:r>
      <w:r>
        <w:rPr>
          <w:rFonts w:hint="eastAsia" w:ascii="仿宋_GB2312" w:eastAsia="仿宋_GB2312"/>
          <w:color w:val="000000" w:themeColor="text1"/>
          <w:sz w:val="30"/>
          <w:szCs w:val="30"/>
          <w:highlight w:val="none"/>
          <w:lang w:eastAsia="zh-CN"/>
          <w14:textFill>
            <w14:solidFill>
              <w14:schemeClr w14:val="tx1"/>
            </w14:solidFill>
          </w14:textFill>
        </w:rPr>
        <w:t>专项资金收入和支出增加。</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度收入合计</w:t>
      </w:r>
      <w:r>
        <w:rPr>
          <w:rFonts w:hint="eastAsia" w:ascii="仿宋_GB2312" w:eastAsia="仿宋_GB2312"/>
          <w:color w:val="000000" w:themeColor="text1"/>
          <w:sz w:val="30"/>
          <w:szCs w:val="30"/>
          <w:lang w:val="en-US" w:eastAsia="zh-CN"/>
          <w14:textFill>
            <w14:solidFill>
              <w14:schemeClr w14:val="tx1"/>
            </w14:solidFill>
          </w14:textFill>
        </w:rPr>
        <w:t>150293388.5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，其中：财政拨款收入</w:t>
      </w:r>
      <w:r>
        <w:rPr>
          <w:rFonts w:hint="eastAsia" w:ascii="仿宋_GB2312" w:eastAsia="仿宋_GB2312"/>
          <w:color w:val="000000" w:themeColor="text1"/>
          <w:sz w:val="30"/>
          <w:szCs w:val="30"/>
          <w:lang w:val="en-US" w:eastAsia="zh-CN"/>
          <w14:textFill>
            <w14:solidFill>
              <w14:schemeClr w14:val="tx1"/>
            </w14:solidFill>
          </w14:textFill>
        </w:rPr>
        <w:t>150293388.5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 xml:space="preserve"> </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度支出合计</w:t>
      </w:r>
      <w:r>
        <w:rPr>
          <w:rFonts w:hint="eastAsia" w:ascii="仿宋_GB2312" w:eastAsia="仿宋_GB2312"/>
          <w:color w:val="000000" w:themeColor="text1"/>
          <w:sz w:val="30"/>
          <w:szCs w:val="30"/>
          <w:lang w:val="en-US" w:eastAsia="zh-CN"/>
          <w14:textFill>
            <w14:solidFill>
              <w14:schemeClr w14:val="tx1"/>
            </w14:solidFill>
          </w14:textFill>
        </w:rPr>
        <w:t>152754388.39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，其中：基本支出</w:t>
      </w:r>
      <w:r>
        <w:rPr>
          <w:rFonts w:hint="eastAsia" w:ascii="仿宋_GB2312" w:eastAsia="仿宋_GB2312"/>
          <w:color w:val="000000" w:themeColor="text1"/>
          <w:sz w:val="30"/>
          <w:szCs w:val="30"/>
          <w:lang w:val="en-US" w:eastAsia="zh-CN"/>
          <w14:textFill>
            <w14:solidFill>
              <w14:schemeClr w14:val="tx1"/>
            </w14:solidFill>
          </w14:textFill>
        </w:rPr>
        <w:t>5432428.62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3.56</w:t>
      </w:r>
      <w:r>
        <w:rPr>
          <w:rFonts w:hint="eastAsia" w:ascii="仿宋_GB2312" w:eastAsia="仿宋_GB2312"/>
          <w:color w:val="000000" w:themeColor="text1"/>
          <w:sz w:val="30"/>
          <w:szCs w:val="30"/>
          <w14:textFill>
            <w14:solidFill>
              <w14:schemeClr w14:val="tx1"/>
            </w14:solidFill>
          </w14:textFill>
        </w:rPr>
        <w:t>%； 项目支出</w:t>
      </w:r>
      <w:r>
        <w:rPr>
          <w:rFonts w:hint="eastAsia" w:ascii="仿宋_GB2312" w:eastAsia="仿宋_GB2312"/>
          <w:color w:val="000000" w:themeColor="text1"/>
          <w:sz w:val="30"/>
          <w:szCs w:val="30"/>
          <w:lang w:val="en-US" w:eastAsia="zh-CN"/>
          <w14:textFill>
            <w14:solidFill>
              <w14:schemeClr w14:val="tx1"/>
            </w14:solidFill>
          </w14:textFill>
        </w:rPr>
        <w:t>147321959.77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96.44</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度年末结转和结余</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2019年全部项目资金和基本支出都是财政直接支付和授权支付。</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度财政拨款收入</w:t>
      </w:r>
      <w:r>
        <w:rPr>
          <w:rFonts w:hint="eastAsia" w:ascii="仿宋_GB2312" w:eastAsia="仿宋_GB2312"/>
          <w:color w:val="000000" w:themeColor="text1"/>
          <w:sz w:val="30"/>
          <w:szCs w:val="30"/>
          <w:lang w:val="en-US" w:eastAsia="zh-CN"/>
          <w14:textFill>
            <w14:solidFill>
              <w14:schemeClr w14:val="tx1"/>
            </w14:solidFill>
          </w14:textFill>
        </w:rPr>
        <w:t>150293388.5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118682874.08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312.7</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基本收入和项目资金增加</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118682874.08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312.7</w:t>
      </w:r>
      <w:r>
        <w:rPr>
          <w:rFonts w:hint="eastAsia" w:ascii="仿宋_GB2312" w:eastAsia="仿宋_GB2312"/>
          <w:color w:val="000000" w:themeColor="text1"/>
          <w:sz w:val="30"/>
          <w:szCs w:val="30"/>
          <w14:textFill>
            <w14:solidFill>
              <w14:schemeClr w14:val="tx1"/>
            </w14:solidFill>
          </w14:textFill>
        </w:rPr>
        <w:t>%。主要原因是基础设施建设专项</w:t>
      </w:r>
      <w:r>
        <w:rPr>
          <w:rFonts w:hint="eastAsia" w:ascii="仿宋_GB2312" w:eastAsia="仿宋_GB2312"/>
          <w:color w:val="000000" w:themeColor="text1"/>
          <w:sz w:val="30"/>
          <w:szCs w:val="30"/>
          <w:lang w:eastAsia="zh-CN"/>
          <w14:textFill>
            <w14:solidFill>
              <w14:schemeClr w14:val="tx1"/>
            </w14:solidFill>
          </w14:textFill>
        </w:rPr>
        <w:t>资金增加</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w:t>
      </w:r>
      <w:r>
        <w:rPr>
          <w:rFonts w:hint="eastAsia" w:ascii="仿宋_GB2312" w:eastAsia="仿宋_GB2312"/>
          <w:color w:val="000000" w:themeColor="text1"/>
          <w:sz w:val="30"/>
          <w:szCs w:val="30"/>
          <w:lang w:val="en-US" w:eastAsia="zh-CN"/>
          <w14:textFill>
            <w14:solidFill>
              <w14:schemeClr w14:val="tx1"/>
            </w14:solidFill>
          </w14:textFill>
        </w:rPr>
        <w:t>152754388.39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118682874.08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312.7</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基本收入和项目资金增加</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highlight w:val="none"/>
          <w:lang w:val="en-US" w:eastAsia="zh-CN"/>
          <w14:textFill>
            <w14:solidFill>
              <w14:schemeClr w14:val="tx1"/>
            </w14:solidFill>
          </w14:textFill>
        </w:rPr>
        <w:t>118682874.08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312.7</w:t>
      </w:r>
      <w:r>
        <w:rPr>
          <w:rFonts w:hint="eastAsia" w:ascii="仿宋_GB2312" w:eastAsia="仿宋_GB2312"/>
          <w:color w:val="000000" w:themeColor="text1"/>
          <w:sz w:val="30"/>
          <w:szCs w:val="30"/>
          <w14:textFill>
            <w14:solidFill>
              <w14:schemeClr w14:val="tx1"/>
            </w14:solidFill>
          </w14:textFill>
        </w:rPr>
        <w:t>%。主要原因是基础设施建设专项</w:t>
      </w:r>
      <w:r>
        <w:rPr>
          <w:rFonts w:hint="eastAsia" w:ascii="仿宋_GB2312" w:eastAsia="仿宋_GB2312"/>
          <w:color w:val="000000" w:themeColor="text1"/>
          <w:sz w:val="30"/>
          <w:szCs w:val="30"/>
          <w:lang w:eastAsia="zh-CN"/>
          <w14:textFill>
            <w14:solidFill>
              <w14:schemeClr w14:val="tx1"/>
            </w14:solidFill>
          </w14:textFill>
        </w:rPr>
        <w:t>资金增加</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4671147.26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3.1</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社会保障和就业</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val="en-US" w:eastAsia="zh-CN"/>
          <w14:textFill>
            <w14:solidFill>
              <w14:schemeClr w14:val="tx1"/>
            </w14:solidFill>
          </w14:textFill>
        </w:rPr>
        <w:t>418790.4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0.2</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农林水支出</w:t>
      </w:r>
      <w:r>
        <w:rPr>
          <w:rFonts w:hint="eastAsia" w:ascii="仿宋_GB2312" w:eastAsia="仿宋_GB2312"/>
          <w:color w:val="000000" w:themeColor="text1"/>
          <w:sz w:val="30"/>
          <w:szCs w:val="30"/>
          <w:lang w:val="en-US" w:eastAsia="zh-CN"/>
          <w14:textFill>
            <w14:solidFill>
              <w14:schemeClr w14:val="tx1"/>
            </w14:solidFill>
          </w14:textFill>
        </w:rPr>
        <w:t>53753700元，占35.2%，</w:t>
      </w:r>
      <w:r>
        <w:rPr>
          <w:rFonts w:hint="eastAsia" w:ascii="仿宋_GB2312" w:eastAsia="仿宋_GB2312"/>
          <w:color w:val="000000" w:themeColor="text1"/>
          <w:sz w:val="30"/>
          <w:szCs w:val="30"/>
          <w14:textFill>
            <w14:solidFill>
              <w14:schemeClr w14:val="tx1"/>
            </w14:solidFill>
          </w14:textFill>
        </w:rPr>
        <w:t>交通运输支出</w:t>
      </w:r>
      <w:r>
        <w:rPr>
          <w:rFonts w:hint="eastAsia" w:ascii="仿宋_GB2312" w:eastAsia="仿宋_GB2312"/>
          <w:color w:val="000000" w:themeColor="text1"/>
          <w:sz w:val="30"/>
          <w:szCs w:val="30"/>
          <w:lang w:val="en-US" w:eastAsia="zh-CN"/>
          <w14:textFill>
            <w14:solidFill>
              <w14:schemeClr w14:val="tx1"/>
            </w14:solidFill>
          </w14:textFill>
        </w:rPr>
        <w:t>93910750.73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61.5</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跟年初预算数一样，</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本年未调整预算。</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（三）一般公共预算财政拨款基本支出决算情况说明</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度一般公共财政拨款基本支出</w:t>
      </w:r>
      <w:r>
        <w:rPr>
          <w:rFonts w:hint="eastAsia" w:ascii="仿宋_GB2312" w:eastAsia="仿宋_GB2312"/>
          <w:color w:val="000000" w:themeColor="text1"/>
          <w:sz w:val="30"/>
          <w:szCs w:val="30"/>
          <w:lang w:val="en-US" w:eastAsia="zh-CN"/>
          <w14:textFill>
            <w14:solidFill>
              <w14:schemeClr w14:val="tx1"/>
            </w14:solidFill>
          </w14:textFill>
        </w:rPr>
        <w:t>5286828.62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。其中：人员经费</w:t>
      </w:r>
      <w:r>
        <w:rPr>
          <w:rFonts w:hint="eastAsia" w:ascii="仿宋_GB2312" w:eastAsia="仿宋_GB2312"/>
          <w:color w:val="000000" w:themeColor="text1"/>
          <w:sz w:val="30"/>
          <w:szCs w:val="30"/>
          <w:lang w:val="en-US" w:eastAsia="zh-CN"/>
          <w14:textFill>
            <w14:solidFill>
              <w14:schemeClr w14:val="tx1"/>
            </w14:solidFill>
          </w14:textFill>
        </w:rPr>
        <w:t>4851926.36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 较上年</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402499.74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退休减</w:t>
      </w:r>
      <w:r>
        <w:rPr>
          <w:rFonts w:hint="eastAsia" w:ascii="仿宋_GB2312" w:eastAsia="仿宋_GB2312"/>
          <w:color w:val="000000" w:themeColor="text1"/>
          <w:sz w:val="30"/>
          <w:szCs w:val="30"/>
          <w14:textFill>
            <w14:solidFill>
              <w14:schemeClr w14:val="tx1"/>
            </w14:solidFill>
          </w14:textFill>
        </w:rPr>
        <w:t>资。人员经费用途主要包括基本工资、津贴补贴、奖金、社会保障缴费。公用经费</w:t>
      </w:r>
      <w:r>
        <w:rPr>
          <w:rFonts w:hint="eastAsia" w:ascii="仿宋_GB2312" w:eastAsia="仿宋_GB2312"/>
          <w:color w:val="000000" w:themeColor="text1"/>
          <w:sz w:val="30"/>
          <w:szCs w:val="30"/>
          <w:lang w:val="en-US" w:eastAsia="zh-CN"/>
          <w14:textFill>
            <w14:solidFill>
              <w14:schemeClr w14:val="tx1"/>
            </w14:solidFill>
          </w14:textFill>
        </w:rPr>
        <w:t>434902.26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44526.45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，公用经费用途主要包括办公费、</w:t>
      </w:r>
      <w:r>
        <w:rPr>
          <w:rFonts w:hint="eastAsia" w:ascii="仿宋_GB2312" w:eastAsia="仿宋_GB2312"/>
          <w:color w:val="000000" w:themeColor="text1"/>
          <w:sz w:val="30"/>
          <w:szCs w:val="30"/>
          <w:lang w:eastAsia="zh-CN"/>
          <w14:textFill>
            <w14:solidFill>
              <w14:schemeClr w14:val="tx1"/>
            </w14:solidFill>
          </w14:textFill>
        </w:rPr>
        <w:t>差旅费</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邮电费</w:t>
      </w:r>
      <w:r>
        <w:rPr>
          <w:rFonts w:hint="eastAsia" w:ascii="仿宋_GB2312" w:eastAsia="仿宋_GB2312"/>
          <w:color w:val="000000" w:themeColor="text1"/>
          <w:sz w:val="30"/>
          <w:szCs w:val="30"/>
          <w14:textFill>
            <w14:solidFill>
              <w14:schemeClr w14:val="tx1"/>
            </w14:solidFill>
          </w14:textFill>
        </w:rPr>
        <w:t>、手续费等</w:t>
      </w:r>
      <w:r>
        <w:rPr>
          <w:rFonts w:hint="eastAsia" w:ascii="仿宋_GB2312" w:eastAsia="仿宋_GB2312"/>
          <w:color w:val="000000" w:themeColor="text1"/>
          <w:sz w:val="30"/>
          <w:szCs w:val="30"/>
          <w:lang w:eastAsia="zh-CN"/>
          <w14:textFill>
            <w14:solidFill>
              <w14:schemeClr w14:val="tx1"/>
            </w14:solidFill>
          </w14:textFill>
        </w:rPr>
        <w:t>。</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四、“三公”经费情况说明</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“三公”经费支出总额情况。</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年度本部门“三公”经费支出共计</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车辆运行费减少，单位未产生接待费用。</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 五、其他需要说明的事项</w:t>
      </w:r>
    </w:p>
    <w:p>
      <w:pPr>
        <w:ind w:firstLine="602"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 机关运行经费情况说明。</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本部门机关运行经费支出</w:t>
      </w:r>
      <w:r>
        <w:rPr>
          <w:rFonts w:hint="eastAsia" w:ascii="仿宋_GB2312" w:eastAsia="仿宋_GB2312"/>
          <w:color w:val="000000" w:themeColor="text1"/>
          <w:sz w:val="30"/>
          <w:szCs w:val="30"/>
          <w:lang w:val="en-US" w:eastAsia="zh-CN"/>
          <w14:textFill>
            <w14:solidFill>
              <w14:schemeClr w14:val="tx1"/>
            </w14:solidFill>
          </w14:textFill>
        </w:rPr>
        <w:t>434902.26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，机关运行经费主要用于开支办公费</w:t>
      </w:r>
      <w:r>
        <w:rPr>
          <w:rFonts w:hint="eastAsia" w:ascii="仿宋_GB2312" w:eastAsia="仿宋_GB2312"/>
          <w:color w:val="000000" w:themeColor="text1"/>
          <w:sz w:val="30"/>
          <w:szCs w:val="30"/>
          <w:lang w:eastAsia="zh-CN"/>
          <w14:textFill>
            <w14:solidFill>
              <w14:schemeClr w14:val="tx1"/>
            </w14:solidFill>
          </w14:textFill>
        </w:rPr>
        <w:t>、水电费</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邮电费、取暖费、差旅费、培训费、劳务费、</w:t>
      </w:r>
      <w:r>
        <w:rPr>
          <w:rFonts w:hint="eastAsia" w:ascii="仿宋_GB2312" w:eastAsia="仿宋_GB2312"/>
          <w:color w:val="000000" w:themeColor="text1"/>
          <w:sz w:val="30"/>
          <w:szCs w:val="30"/>
          <w14:textFill>
            <w14:solidFill>
              <w14:schemeClr w14:val="tx1"/>
            </w14:solidFill>
          </w14:textFill>
        </w:rPr>
        <w:t>信息网络购置更新费等。机关运行经费较201</w:t>
      </w:r>
      <w:r>
        <w:rPr>
          <w:rFonts w:hint="eastAsia" w:ascii="仿宋_GB2312" w:eastAsia="仿宋_GB2312"/>
          <w:color w:val="000000" w:themeColor="text1"/>
          <w:sz w:val="30"/>
          <w:szCs w:val="30"/>
          <w:lang w:val="en-US" w:eastAsia="zh-CN"/>
          <w14:textFill>
            <w14:solidFill>
              <w14:schemeClr w14:val="tx1"/>
            </w14:solidFill>
          </w14:textFill>
        </w:rPr>
        <w:t>8</w:t>
      </w:r>
      <w:r>
        <w:rPr>
          <w:rFonts w:hint="eastAsia" w:ascii="仿宋_GB2312" w:eastAsia="仿宋_GB2312"/>
          <w:color w:val="000000" w:themeColor="text1"/>
          <w:sz w:val="30"/>
          <w:szCs w:val="30"/>
          <w14:textFill>
            <w14:solidFill>
              <w14:schemeClr w14:val="tx1"/>
            </w14:solidFill>
          </w14:textFill>
        </w:rPr>
        <w:t>年</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44526.45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9.3</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2019年人员减少。</w:t>
      </w:r>
    </w:p>
    <w:p>
      <w:pPr>
        <w:ind w:firstLine="602"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 国有资产占用情况说明。</w:t>
      </w:r>
      <w:r>
        <w:rPr>
          <w:rFonts w:hint="eastAsia" w:ascii="仿宋_GB2312" w:eastAsia="仿宋_GB2312"/>
          <w:color w:val="000000" w:themeColor="text1"/>
          <w:sz w:val="30"/>
          <w:szCs w:val="30"/>
          <w14:textFill>
            <w14:solidFill>
              <w14:schemeClr w14:val="tx1"/>
            </w14:solidFill>
          </w14:textFill>
        </w:rPr>
        <w:t>截至</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12月31日，本部门共有车辆</w:t>
      </w: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辆，其中：领导干部用车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辆、一般公务用车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辆、一般执法执勤用车</w:t>
      </w: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辆、特种专业技术用车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辆、其他用车</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辆。 单价50</w:t>
      </w:r>
      <w:r>
        <w:rPr>
          <w:rFonts w:hint="eastAsia" w:ascii="仿宋_GB2312" w:eastAsia="仿宋_GB2312"/>
          <w:color w:val="000000" w:themeColor="text1"/>
          <w:sz w:val="30"/>
          <w:szCs w:val="30"/>
          <w:lang w:eastAsia="zh-CN"/>
          <w14:textFill>
            <w14:solidFill>
              <w14:schemeClr w14:val="tx1"/>
            </w14:solidFill>
          </w14:textFill>
        </w:rPr>
        <w:t>万元</w:t>
      </w:r>
      <w:r>
        <w:rPr>
          <w:rFonts w:hint="eastAsia" w:ascii="仿宋_GB2312" w:eastAsia="仿宋_GB2312"/>
          <w:color w:val="000000" w:themeColor="text1"/>
          <w:sz w:val="30"/>
          <w:szCs w:val="30"/>
          <w14:textFill>
            <w14:solidFill>
              <w14:schemeClr w14:val="tx1"/>
            </w14:solidFill>
          </w14:textFill>
        </w:rPr>
        <w:t>以上通用设备</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台（套），单价100</w:t>
      </w:r>
      <w:r>
        <w:rPr>
          <w:rFonts w:hint="eastAsia" w:ascii="仿宋_GB2312" w:eastAsia="仿宋_GB2312"/>
          <w:color w:val="000000" w:themeColor="text1"/>
          <w:sz w:val="30"/>
          <w:szCs w:val="30"/>
          <w:lang w:eastAsia="zh-CN"/>
          <w14:textFill>
            <w14:solidFill>
              <w14:schemeClr w14:val="tx1"/>
            </w14:solidFill>
          </w14:textFill>
        </w:rPr>
        <w:t>万元</w:t>
      </w:r>
      <w:r>
        <w:rPr>
          <w:rFonts w:hint="eastAsia" w:ascii="仿宋_GB2312" w:eastAsia="仿宋_GB2312"/>
          <w:color w:val="000000" w:themeColor="text1"/>
          <w:sz w:val="30"/>
          <w:szCs w:val="30"/>
          <w14:textFill>
            <w14:solidFill>
              <w14:schemeClr w14:val="tx1"/>
            </w14:solidFill>
          </w14:textFill>
        </w:rPr>
        <w:t>以上专用设备</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台（套）。</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黑体" w:hAnsi="黑体" w:eastAsia="黑体"/>
          <w:color w:val="000000" w:themeColor="text1"/>
          <w:sz w:val="30"/>
          <w:szCs w:val="30"/>
          <w:lang w:val="en-US" w:eastAsia="zh-CN"/>
          <w14:textFill>
            <w14:solidFill>
              <w14:schemeClr w14:val="tx1"/>
            </w14:solidFill>
          </w14:textFill>
        </w:rPr>
        <w:t xml:space="preserve"> </w:t>
      </w:r>
      <w:r>
        <w:rPr>
          <w:rFonts w:hint="eastAsia" w:ascii="楷体_GB2312" w:eastAsia="楷体_GB2312"/>
          <w:b/>
          <w:color w:val="000000" w:themeColor="text1"/>
          <w:sz w:val="30"/>
          <w:szCs w:val="30"/>
          <w14:textFill>
            <w14:solidFill>
              <w14:schemeClr w14:val="tx1"/>
            </w14:solidFill>
          </w14:textFill>
        </w:rPr>
        <w:t>（三） 政府采购支出情况说明。</w:t>
      </w:r>
      <w:r>
        <w:rPr>
          <w:rFonts w:hint="eastAsia" w:ascii="仿宋_GB2312" w:eastAsia="仿宋_GB2312"/>
          <w:color w:val="000000" w:themeColor="text1"/>
          <w:sz w:val="30"/>
          <w:szCs w:val="30"/>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年本部门政府采购支出总额</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，其中：政府采购货物支出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、政府采购工程支出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、政府采购服务支出</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黑体" w:hAnsi="黑体" w:eastAsia="黑体"/>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（四）预算绩效管理情况说明</w:t>
      </w:r>
      <w:r>
        <w:rPr>
          <w:rFonts w:hint="eastAsia" w:ascii="仿宋_GB2312" w:hAnsi="黑体" w:eastAsia="仿宋_GB2312"/>
          <w:color w:val="000000" w:themeColor="text1"/>
          <w:sz w:val="30"/>
          <w:szCs w:val="30"/>
          <w14:textFill>
            <w14:solidFill>
              <w14:schemeClr w14:val="tx1"/>
            </w14:solidFill>
          </w14:textFill>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14:textFill>
            <w14:solidFill>
              <w14:schemeClr w14:val="tx1"/>
            </w14:solidFill>
          </w14:textFill>
        </w:rPr>
        <w:t>年我单位未组织第三方组织绩效评价</w:t>
      </w:r>
      <w:r>
        <w:rPr>
          <w:rFonts w:hint="eastAsia" w:ascii="仿宋_GB2312" w:eastAsia="仿宋_GB2312"/>
          <w:color w:val="000000" w:themeColor="text1"/>
          <w:sz w:val="30"/>
          <w:szCs w:val="30"/>
          <w:lang w:eastAsia="zh-CN"/>
          <w14:textFill>
            <w14:solidFill>
              <w14:schemeClr w14:val="tx1"/>
            </w14:solidFill>
          </w14:textFill>
        </w:rPr>
        <w:t>。</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六、专业名词解释。</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（一）财政拨款收入：</w:t>
      </w:r>
      <w:r>
        <w:rPr>
          <w:rFonts w:hint="eastAsia" w:ascii="仿宋_GB2312" w:eastAsia="仿宋_GB2312"/>
          <w:color w:val="000000" w:themeColor="text1"/>
          <w:sz w:val="30"/>
          <w:szCs w:val="30"/>
          <w14:textFill>
            <w14:solidFill>
              <w14:schemeClr w14:val="tx1"/>
            </w14:solidFill>
          </w14:textFill>
        </w:rPr>
        <w:t>指本年度从本级财政部门取得的财政拨款，包括一般公共预算财政拨款和政府性基金预算财政拨款。</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（二）事业收入：</w:t>
      </w:r>
      <w:r>
        <w:rPr>
          <w:rFonts w:hint="eastAsia" w:ascii="仿宋_GB2312" w:eastAsia="仿宋_GB2312"/>
          <w:color w:val="000000" w:themeColor="text1"/>
          <w:sz w:val="30"/>
          <w:szCs w:val="30"/>
          <w14:textFill>
            <w14:solidFill>
              <w14:schemeClr w14:val="tx1"/>
            </w14:solidFill>
          </w14:textFill>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（三）经营收入：</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指事业单位在专业业务活动及其辅助活动之外开展非独立核算经营活动取得的收入。</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（四）其他收入：</w:t>
      </w:r>
      <w:r>
        <w:rPr>
          <w:rFonts w:hint="eastAsia" w:ascii="仿宋_GB2312" w:eastAsia="仿宋_GB2312"/>
          <w:color w:val="000000" w:themeColor="text1"/>
          <w:sz w:val="30"/>
          <w:szCs w:val="30"/>
          <w14:textFill>
            <w14:solidFill>
              <w14:schemeClr w14:val="tx1"/>
            </w14:solidFill>
          </w14:textFill>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（五）用事业基金弥补收支差额：</w:t>
      </w:r>
      <w:r>
        <w:rPr>
          <w:rFonts w:hint="eastAsia" w:ascii="仿宋_GB2312" w:eastAsia="仿宋_GB2312"/>
          <w:color w:val="000000" w:themeColor="text1"/>
          <w:sz w:val="30"/>
          <w:szCs w:val="30"/>
          <w14:textFill>
            <w14:solidFill>
              <w14:schemeClr w14:val="tx1"/>
            </w14:solidFill>
          </w14:textFill>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（六）年初结转和结余：</w:t>
      </w:r>
      <w:r>
        <w:rPr>
          <w:rFonts w:hint="eastAsia" w:ascii="仿宋_GB2312" w:eastAsia="仿宋_GB2312"/>
          <w:color w:val="000000" w:themeColor="text1"/>
          <w:sz w:val="30"/>
          <w:szCs w:val="30"/>
          <w14:textFill>
            <w14:solidFill>
              <w14:schemeClr w14:val="tx1"/>
            </w14:solidFill>
          </w14:textFill>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（七）结余分配：</w:t>
      </w:r>
      <w:r>
        <w:rPr>
          <w:rFonts w:hint="eastAsia" w:ascii="仿宋_GB2312" w:eastAsia="仿宋_GB2312"/>
          <w:color w:val="000000" w:themeColor="text1"/>
          <w:sz w:val="30"/>
          <w:szCs w:val="30"/>
          <w14:textFill>
            <w14:solidFill>
              <w14:schemeClr w14:val="tx1"/>
            </w14:solidFill>
          </w14:textFill>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（八）年末结转和结余：</w:t>
      </w:r>
      <w:r>
        <w:rPr>
          <w:rFonts w:hint="eastAsia" w:ascii="仿宋_GB2312" w:eastAsia="仿宋_GB2312"/>
          <w:color w:val="000000" w:themeColor="text1"/>
          <w:sz w:val="30"/>
          <w:szCs w:val="30"/>
          <w14:textFill>
            <w14:solidFill>
              <w14:schemeClr w14:val="tx1"/>
            </w14:solidFill>
          </w14:textFill>
        </w:rPr>
        <w:t>指单位结转下年的基本支出结转、项目支出结转和结余、经营结余。不包括事业单位净资产项下的事业基金和专用基金。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（九）基本支出：</w:t>
      </w:r>
      <w:r>
        <w:rPr>
          <w:rFonts w:hint="eastAsia" w:ascii="仿宋_GB2312" w:eastAsia="仿宋_GB2312"/>
          <w:color w:val="000000" w:themeColor="text1"/>
          <w:sz w:val="30"/>
          <w:szCs w:val="30"/>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（十）项目支出：</w:t>
      </w:r>
      <w:r>
        <w:rPr>
          <w:rFonts w:hint="eastAsia" w:ascii="仿宋_GB2312" w:eastAsia="仿宋_GB2312"/>
          <w:color w:val="000000" w:themeColor="text1"/>
          <w:sz w:val="30"/>
          <w:szCs w:val="30"/>
          <w14:textFill>
            <w14:solidFill>
              <w14:schemeClr w14:val="tx1"/>
            </w14:solidFill>
          </w14:textFill>
        </w:rPr>
        <w:t>指在基本支出之外为完成特定行政任务和事业发展目标所发生的支出。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（十一）经营支出：</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（十二）“三公”经费：</w:t>
      </w:r>
      <w:r>
        <w:rPr>
          <w:rFonts w:hint="eastAsia" w:ascii="仿宋_GB2312" w:eastAsia="仿宋_GB2312"/>
          <w:color w:val="000000" w:themeColor="text1"/>
          <w:sz w:val="30"/>
          <w:szCs w:val="30"/>
          <w14:textFill>
            <w14:solidFill>
              <w14:schemeClr w14:val="tx1"/>
            </w14:solidFill>
          </w14:textFill>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（十三）机关运行经费：</w:t>
      </w:r>
      <w:r>
        <w:rPr>
          <w:rFonts w:hint="eastAsia" w:ascii="仿宋_GB2312" w:eastAsia="仿宋_GB2312"/>
          <w:color w:val="000000" w:themeColor="text1"/>
          <w:sz w:val="30"/>
          <w:szCs w:val="30"/>
          <w14:textFill>
            <w14:solidFill>
              <w14:schemeClr w14:val="tx1"/>
            </w14:solidFill>
          </w14:textFill>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（十四）工资福利支出（支出经济分类科目类级）：</w:t>
      </w:r>
      <w:r>
        <w:rPr>
          <w:rFonts w:hint="eastAsia" w:ascii="仿宋_GB2312" w:eastAsia="仿宋_GB2312"/>
          <w:color w:val="000000" w:themeColor="text1"/>
          <w:sz w:val="30"/>
          <w:szCs w:val="30"/>
          <w14:textFill>
            <w14:solidFill>
              <w14:schemeClr w14:val="tx1"/>
            </w14:solidFill>
          </w14:textFill>
        </w:rPr>
        <w:t>反映单位开支的在职职工和编制外长期聘用人员的各类劳动报酬，以及为上述人员缴纳的各项社会保险费等。</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（十五）商品和服务支出（支出经济分类科目类级）：</w:t>
      </w:r>
      <w:r>
        <w:rPr>
          <w:rFonts w:hint="eastAsia" w:ascii="仿宋_GB2312" w:eastAsia="仿宋_GB2312"/>
          <w:color w:val="000000" w:themeColor="text1"/>
          <w:sz w:val="30"/>
          <w:szCs w:val="30"/>
          <w14:textFill>
            <w14:solidFill>
              <w14:schemeClr w14:val="tx1"/>
            </w14:solidFill>
          </w14:textFill>
        </w:rPr>
        <w:t>反映单位购买商品和服务的支出（不包括用于购置固定资产的支出、战略性和应急储备支出）。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（十六）对个人和家庭的补助（支出经济分类科目类级）：</w:t>
      </w:r>
      <w:r>
        <w:rPr>
          <w:rFonts w:hint="eastAsia" w:ascii="仿宋_GB2312" w:eastAsia="仿宋_GB2312"/>
          <w:color w:val="000000" w:themeColor="text1"/>
          <w:sz w:val="30"/>
          <w:szCs w:val="30"/>
          <w14:textFill>
            <w14:solidFill>
              <w14:schemeClr w14:val="tx1"/>
            </w14:solidFill>
          </w14:textFill>
        </w:rPr>
        <w:t>反映用于对个人和家庭的补助支出。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（十七）其他资本性支出（支出经济分类科目类级）：</w:t>
      </w:r>
      <w:r>
        <w:rPr>
          <w:rFonts w:hint="eastAsia" w:ascii="仿宋_GB2312" w:eastAsia="仿宋_GB2312"/>
          <w:color w:val="000000" w:themeColor="text1"/>
          <w:sz w:val="30"/>
          <w:szCs w:val="30"/>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注：</w:t>
      </w:r>
      <w:r>
        <w:rPr>
          <w:rFonts w:hint="eastAsia" w:ascii="仿宋_GB2312" w:eastAsia="仿宋_GB2312"/>
          <w:color w:val="000000" w:themeColor="text1"/>
          <w:sz w:val="30"/>
          <w:szCs w:val="30"/>
          <w14:textFill>
            <w14:solidFill>
              <w14:schemeClr w14:val="tx1"/>
            </w14:solidFill>
          </w14:textFill>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color w:val="000000" w:themeColor="text1"/>
          <w:sz w:val="30"/>
          <w:szCs w:val="30"/>
          <w14:textFill>
            <w14:solidFill>
              <w14:schemeClr w14:val="tx1"/>
            </w14:solidFill>
          </w14:textFill>
        </w:rPr>
      </w:pPr>
    </w:p>
    <w:p>
      <w:pPr>
        <w:ind w:firstLine="600" w:firstLineChars="200"/>
        <w:rPr>
          <w:rFonts w:ascii="仿宋_GB2312" w:eastAsia="仿宋_GB2312"/>
          <w:color w:val="000000" w:themeColor="text1"/>
          <w:sz w:val="30"/>
          <w:szCs w:val="30"/>
          <w14:textFill>
            <w14:solidFill>
              <w14:schemeClr w14:val="tx1"/>
            </w14:solidFill>
          </w14:textFill>
        </w:rPr>
      </w:pPr>
    </w:p>
    <w:p>
      <w:pPr>
        <w:jc w:val="right"/>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2020年10月17日</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2B237A8"/>
    <w:rsid w:val="04B27EC7"/>
    <w:rsid w:val="0D560438"/>
    <w:rsid w:val="13836B25"/>
    <w:rsid w:val="14A629C9"/>
    <w:rsid w:val="17542C27"/>
    <w:rsid w:val="18F1352C"/>
    <w:rsid w:val="195E20F9"/>
    <w:rsid w:val="1B943FD8"/>
    <w:rsid w:val="1DD64839"/>
    <w:rsid w:val="2058605C"/>
    <w:rsid w:val="2EE67926"/>
    <w:rsid w:val="2F557316"/>
    <w:rsid w:val="35130FCB"/>
    <w:rsid w:val="3FC67B95"/>
    <w:rsid w:val="48157D19"/>
    <w:rsid w:val="582679AF"/>
    <w:rsid w:val="598E5B2F"/>
    <w:rsid w:val="5E8C02F1"/>
    <w:rsid w:val="5F2727A8"/>
    <w:rsid w:val="6C1122C1"/>
    <w:rsid w:val="6D75333B"/>
    <w:rsid w:val="6E3618C9"/>
    <w:rsid w:val="7A0344C4"/>
    <w:rsid w:val="7A0958A2"/>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7</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2020-10-19T12:30:44Z</cp:lastPrinted>
  <dcterms:modified xsi:type="dcterms:W3CDTF">2020-10-19T13:31:02Z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