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pPr>
      <w:r>
        <w:rPr>
          <w:rFonts w:hint="eastAsia" w:ascii="仿宋_GB2312" w:hAnsi="宋体" w:eastAsia="仿宋_GB2312" w:cs="宋体"/>
          <w:b/>
          <w:bCs/>
          <w:sz w:val="24"/>
          <w:szCs w:val="24"/>
        </w:rPr>
        <w:t>附件1：</w:t>
      </w:r>
    </w:p>
    <w:p>
      <w:pPr>
        <w:jc w:val="center"/>
        <w:rPr>
          <w:rFonts w:ascii="仿宋_GB2312" w:eastAsia="仿宋_GB2312"/>
          <w:sz w:val="30"/>
          <w:szCs w:val="30"/>
        </w:rPr>
      </w:pPr>
      <w:r>
        <w:rPr>
          <w:rFonts w:hint="eastAsia" w:ascii="方正小标宋简体" w:eastAsia="方正小标宋简体"/>
          <w:sz w:val="36"/>
          <w:szCs w:val="36"/>
        </w:rPr>
        <w:t>甘肃省临夏州积石山</w:t>
      </w:r>
      <w:r>
        <w:rPr>
          <w:rFonts w:hint="eastAsia" w:ascii="方正小标宋简体" w:eastAsia="方正小标宋简体"/>
          <w:sz w:val="36"/>
          <w:szCs w:val="36"/>
          <w:lang w:eastAsia="zh-CN"/>
        </w:rPr>
        <w:t>县农业区划办公室</w:t>
      </w:r>
      <w:r>
        <w:rPr>
          <w:rFonts w:hint="eastAsia" w:ascii="方正小标宋简体" w:eastAsia="方正小标宋简体"/>
          <w:sz w:val="36"/>
          <w:szCs w:val="36"/>
          <w:lang w:val="en-US" w:eastAsia="zh-CN"/>
        </w:rPr>
        <w:t>2</w:t>
      </w:r>
      <w:r>
        <w:rPr>
          <w:rFonts w:hint="eastAsia" w:ascii="方正小标宋简体" w:eastAsia="方正小标宋简体"/>
          <w:sz w:val="36"/>
          <w:szCs w:val="36"/>
        </w:rPr>
        <w:t>01</w:t>
      </w:r>
      <w:r>
        <w:rPr>
          <w:rFonts w:hint="eastAsia" w:ascii="方正小标宋简体" w:eastAsia="方正小标宋简体"/>
          <w:sz w:val="36"/>
          <w:szCs w:val="36"/>
          <w:lang w:val="en-US" w:eastAsia="zh-CN"/>
        </w:rPr>
        <w:t>9</w:t>
      </w:r>
      <w:r>
        <w:rPr>
          <w:rFonts w:hint="eastAsia" w:ascii="方正小标宋简体" w:eastAsia="方正小标宋简体"/>
          <w:sz w:val="36"/>
          <w:szCs w:val="36"/>
        </w:rPr>
        <w:t>年度部门决算情况说明</w:t>
      </w: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keepNext w:val="0"/>
        <w:keepLines w:val="0"/>
        <w:pageBreakBefore w:val="0"/>
        <w:widowControl w:val="0"/>
        <w:kinsoku/>
        <w:wordWrap/>
        <w:overflowPunct/>
        <w:topLinePunct w:val="0"/>
        <w:autoSpaceDE/>
        <w:autoSpaceDN w:val="0"/>
        <w:bidi w:val="0"/>
        <w:adjustRightInd/>
        <w:snapToGrid/>
        <w:spacing w:line="240" w:lineRule="atLeast"/>
        <w:ind w:firstLine="640" w:firstLineChars="20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Cs/>
          <w:color w:val="000000"/>
          <w:sz w:val="32"/>
          <w:szCs w:val="32"/>
        </w:rPr>
        <w:t>一是主要承担</w:t>
      </w:r>
      <w:r>
        <w:rPr>
          <w:rFonts w:hint="eastAsia" w:ascii="仿宋_GB2312" w:hAnsi="仿宋_GB2312" w:eastAsia="仿宋_GB2312" w:cs="仿宋_GB2312"/>
          <w:bCs/>
          <w:color w:val="000000"/>
          <w:sz w:val="32"/>
          <w:szCs w:val="32"/>
          <w:lang w:val="en-US" w:eastAsia="zh-CN"/>
        </w:rPr>
        <w:t>权限</w:t>
      </w:r>
      <w:r>
        <w:rPr>
          <w:rFonts w:hint="eastAsia" w:ascii="仿宋_GB2312" w:hAnsi="仿宋_GB2312" w:eastAsia="仿宋_GB2312" w:cs="仿宋_GB2312"/>
          <w:bCs/>
          <w:color w:val="000000"/>
          <w:sz w:val="32"/>
          <w:szCs w:val="32"/>
        </w:rPr>
        <w:t>农业资源综合性、宏观性中长期规划的调查与编制；农业区域性资源开发方案制定和农业综合开发实验区建设；农业资源管理，建立农业资源数据库管理信息体系；农业资源消长动态监测等工作。</w:t>
      </w:r>
    </w:p>
    <w:p>
      <w:pPr>
        <w:keepNext w:val="0"/>
        <w:keepLines w:val="0"/>
        <w:pageBreakBefore w:val="0"/>
        <w:widowControl w:val="0"/>
        <w:kinsoku/>
        <w:wordWrap/>
        <w:overflowPunct/>
        <w:topLinePunct w:val="0"/>
        <w:autoSpaceDE/>
        <w:autoSpaceDN w:val="0"/>
        <w:bidi w:val="0"/>
        <w:adjustRightInd/>
        <w:snapToGrid/>
        <w:spacing w:line="24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color w:val="000000"/>
          <w:sz w:val="32"/>
          <w:szCs w:val="32"/>
        </w:rPr>
        <w:t>二是</w:t>
      </w:r>
      <w:r>
        <w:rPr>
          <w:rFonts w:hint="eastAsia" w:ascii="仿宋_GB2312" w:hAnsi="仿宋_GB2312" w:eastAsia="仿宋_GB2312" w:cs="仿宋_GB2312"/>
          <w:sz w:val="32"/>
          <w:szCs w:val="32"/>
        </w:rPr>
        <w:t>全面开展农业资源及粮食综合生产能力调查评价工作。</w:t>
      </w:r>
      <w:r>
        <w:rPr>
          <w:rFonts w:hint="eastAsia" w:ascii="仿宋_GB2312" w:hAnsi="仿宋_GB2312" w:eastAsia="仿宋_GB2312" w:cs="仿宋_GB2312"/>
          <w:color w:val="000000"/>
          <w:sz w:val="32"/>
          <w:szCs w:val="32"/>
        </w:rPr>
        <w:t>科学测量，准确监测土壤墒情与作物长势。开展全县土壤墒情、农作物长势监测与评价。</w:t>
      </w:r>
      <w:r>
        <w:rPr>
          <w:rFonts w:hint="eastAsia" w:ascii="仿宋_GB2312" w:hAnsi="仿宋_GB2312" w:eastAsia="仿宋_GB2312" w:cs="仿宋_GB2312"/>
          <w:sz w:val="32"/>
          <w:szCs w:val="32"/>
        </w:rPr>
        <w:t>完善农业资源信息库建设，建立农业资源报告制度。在开展农业资源及粮食综合生产能力调查的基础上，分析我县现实和潜在的粮食综合生产能力。</w:t>
      </w:r>
    </w:p>
    <w:p>
      <w:pPr>
        <w:keepNext w:val="0"/>
        <w:keepLines w:val="0"/>
        <w:pageBreakBefore w:val="0"/>
        <w:widowControl w:val="0"/>
        <w:kinsoku/>
        <w:wordWrap/>
        <w:overflowPunct/>
        <w:topLinePunct w:val="0"/>
        <w:autoSpaceDE/>
        <w:autoSpaceDN w:val="0"/>
        <w:bidi w:val="0"/>
        <w:adjustRightInd/>
        <w:snapToGrid/>
        <w:spacing w:line="24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加强农业区划和农业遥感体系建设；改进农业遥感监测方式；拓宽工作范围和领域，优化资源配置，调整农业布局，拓展农业功能，更新农业区划，加强主体功能区规划，农业发展战略布局的调查研究，立足于发展现代农业，着力推进现代特色农业产业带形成，提高资源利用效率，促进农业增效，农民增收，主动把农业区划工作融入到农业工作大局之中，主动为农业发展服务。</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核定事业编制</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rPr>
        <w:t>名，</w:t>
      </w:r>
      <w:r>
        <w:rPr>
          <w:rFonts w:hint="eastAsia" w:ascii="仿宋" w:hAnsi="仿宋" w:eastAsia="仿宋" w:cs="仿宋"/>
          <w:kern w:val="0"/>
          <w:sz w:val="32"/>
          <w:szCs w:val="32"/>
          <w:lang w:eastAsia="zh-CN"/>
        </w:rPr>
        <w:t>行政编制</w:t>
      </w:r>
      <w:r>
        <w:rPr>
          <w:rFonts w:hint="eastAsia" w:ascii="仿宋" w:hAnsi="仿宋" w:eastAsia="仿宋" w:cs="仿宋"/>
          <w:kern w:val="0"/>
          <w:sz w:val="32"/>
          <w:szCs w:val="32"/>
          <w:lang w:val="en-US" w:eastAsia="zh-CN"/>
        </w:rPr>
        <w:t>11名，</w:t>
      </w:r>
      <w:r>
        <w:rPr>
          <w:rFonts w:hint="eastAsia" w:ascii="仿宋" w:hAnsi="仿宋" w:eastAsia="仿宋" w:cs="仿宋"/>
          <w:kern w:val="0"/>
          <w:sz w:val="32"/>
          <w:szCs w:val="32"/>
        </w:rPr>
        <w:t>核定领导</w:t>
      </w:r>
      <w:r>
        <w:rPr>
          <w:rFonts w:hint="eastAsia" w:ascii="仿宋" w:hAnsi="仿宋" w:eastAsia="仿宋" w:cs="仿宋"/>
          <w:kern w:val="0"/>
          <w:sz w:val="32"/>
          <w:szCs w:val="32"/>
          <w:lang w:eastAsia="zh-CN"/>
        </w:rPr>
        <w:t>职数</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名，正科级领导职数1名，副科级领导干部2名，</w:t>
      </w:r>
      <w:r>
        <w:rPr>
          <w:rFonts w:hint="eastAsia" w:ascii="仿宋" w:hAnsi="仿宋" w:eastAsia="仿宋" w:cs="仿宋"/>
          <w:sz w:val="32"/>
        </w:rPr>
        <w:t>内设人秘股、财务股、</w:t>
      </w:r>
      <w:r>
        <w:rPr>
          <w:rFonts w:hint="eastAsia" w:ascii="仿宋" w:hAnsi="仿宋" w:eastAsia="仿宋" w:cs="仿宋"/>
          <w:sz w:val="32"/>
          <w:lang w:eastAsia="zh-CN"/>
        </w:rPr>
        <w:t>业务</w:t>
      </w:r>
      <w:r>
        <w:rPr>
          <w:rFonts w:hint="eastAsia" w:ascii="仿宋" w:hAnsi="仿宋" w:eastAsia="仿宋" w:cs="仿宋"/>
          <w:sz w:val="32"/>
        </w:rPr>
        <w:t>股</w:t>
      </w:r>
      <w:r>
        <w:rPr>
          <w:rFonts w:hint="eastAsia" w:ascii="仿宋" w:hAnsi="仿宋" w:eastAsia="仿宋" w:cs="仿宋"/>
          <w:sz w:val="32"/>
          <w:lang w:eastAsia="zh-CN"/>
        </w:rPr>
        <w:t>等三个股室</w:t>
      </w:r>
      <w:bookmarkStart w:id="0" w:name="_GoBack"/>
      <w:bookmarkEnd w:id="0"/>
      <w:r>
        <w:rPr>
          <w:rFonts w:hint="eastAsia" w:ascii="仿宋" w:hAnsi="仿宋" w:eastAsia="仿宋" w:cs="仿宋"/>
          <w:sz w:val="32"/>
        </w:rPr>
        <w:t>，</w:t>
      </w:r>
      <w:r>
        <w:rPr>
          <w:rFonts w:hint="eastAsia"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年底,实有在职人员</w:t>
      </w:r>
      <w:r>
        <w:rPr>
          <w:rFonts w:hint="eastAsia" w:ascii="仿宋" w:hAnsi="仿宋" w:eastAsia="仿宋" w:cs="仿宋"/>
          <w:kern w:val="0"/>
          <w:sz w:val="32"/>
          <w:szCs w:val="32"/>
          <w:lang w:val="en-US" w:eastAsia="zh-CN"/>
        </w:rPr>
        <w:t>21</w:t>
      </w:r>
      <w:r>
        <w:rPr>
          <w:rFonts w:hint="eastAsia" w:ascii="仿宋" w:hAnsi="仿宋" w:eastAsia="仿宋" w:cs="仿宋"/>
          <w:kern w:val="0"/>
          <w:sz w:val="32"/>
          <w:szCs w:val="32"/>
        </w:rPr>
        <w:t>人，正科级领导职数1名，副科级领导职数2名、职工</w:t>
      </w:r>
      <w:r>
        <w:rPr>
          <w:rFonts w:hint="eastAsia" w:ascii="仿宋" w:hAnsi="仿宋" w:eastAsia="仿宋" w:cs="仿宋"/>
          <w:kern w:val="0"/>
          <w:sz w:val="32"/>
          <w:szCs w:val="32"/>
          <w:lang w:val="en-US" w:eastAsia="zh-CN"/>
        </w:rPr>
        <w:t>18</w:t>
      </w:r>
      <w:r>
        <w:rPr>
          <w:rFonts w:hint="eastAsia" w:ascii="仿宋" w:hAnsi="仿宋" w:eastAsia="仿宋" w:cs="仿宋"/>
          <w:kern w:val="0"/>
          <w:sz w:val="32"/>
          <w:szCs w:val="32"/>
        </w:rPr>
        <w:t>名。</w:t>
      </w:r>
    </w:p>
    <w:p>
      <w:pPr>
        <w:ind w:firstLine="600" w:firstLineChars="200"/>
        <w:rPr>
          <w:rFonts w:ascii="黑体" w:hAnsi="黑体" w:eastAsia="黑体"/>
          <w:sz w:val="30"/>
          <w:szCs w:val="30"/>
        </w:rPr>
      </w:pPr>
      <w:r>
        <w:rPr>
          <w:rFonts w:hint="eastAsia" w:ascii="黑体" w:hAnsi="黑体" w:eastAsia="黑体"/>
          <w:sz w:val="30"/>
          <w:szCs w:val="30"/>
        </w:rPr>
        <w:t>二、201</w:t>
      </w:r>
      <w:r>
        <w:rPr>
          <w:rFonts w:hint="eastAsia" w:ascii="黑体" w:hAnsi="黑体" w:eastAsia="黑体"/>
          <w:sz w:val="30"/>
          <w:szCs w:val="30"/>
          <w:lang w:val="en-US" w:eastAsia="zh-CN"/>
        </w:rPr>
        <w:t>9</w:t>
      </w:r>
      <w:r>
        <w:rPr>
          <w:rFonts w:hint="eastAsia" w:ascii="黑体" w:hAnsi="黑体" w:eastAsia="黑体"/>
          <w:sz w:val="30"/>
          <w:szCs w:val="30"/>
        </w:rPr>
        <w:t>年度部门决算报表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度收入总计1954600.66</w:t>
      </w:r>
      <w:r>
        <w:rPr>
          <w:rFonts w:hint="eastAsia" w:ascii="仿宋_GB2312" w:eastAsia="仿宋_GB2312"/>
          <w:sz w:val="30"/>
          <w:szCs w:val="30"/>
          <w:lang w:eastAsia="zh-CN"/>
        </w:rPr>
        <w:t>元</w:t>
      </w:r>
      <w:r>
        <w:rPr>
          <w:rFonts w:hint="eastAsia" w:ascii="仿宋_GB2312" w:eastAsia="仿宋_GB2312"/>
          <w:sz w:val="30"/>
          <w:szCs w:val="30"/>
        </w:rPr>
        <w:t>，支出总计1958312.93</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303628.78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0.13</w:t>
      </w:r>
      <w:r>
        <w:rPr>
          <w:rFonts w:hint="eastAsia" w:ascii="仿宋_GB2312" w:eastAsia="仿宋_GB2312"/>
          <w:sz w:val="30"/>
          <w:szCs w:val="30"/>
        </w:rPr>
        <w:t>%，支出</w:t>
      </w:r>
      <w:r>
        <w:rPr>
          <w:rFonts w:hint="eastAsia" w:ascii="仿宋_GB2312" w:eastAsia="仿宋_GB2312"/>
          <w:sz w:val="30"/>
          <w:szCs w:val="30"/>
          <w:lang w:eastAsia="zh-CN"/>
        </w:rPr>
        <w:t>减少</w:t>
      </w:r>
      <w:r>
        <w:rPr>
          <w:rFonts w:hint="eastAsia" w:ascii="仿宋_GB2312" w:eastAsia="仿宋_GB2312"/>
          <w:sz w:val="30"/>
          <w:szCs w:val="30"/>
          <w:lang w:val="en-US" w:eastAsia="zh-CN"/>
        </w:rPr>
        <w:t>296035.96</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0.13</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度收入合计1954600.66</w:t>
      </w:r>
      <w:r>
        <w:rPr>
          <w:rFonts w:hint="eastAsia" w:ascii="仿宋_GB2312" w:eastAsia="仿宋_GB2312"/>
          <w:sz w:val="30"/>
          <w:szCs w:val="30"/>
          <w:lang w:eastAsia="zh-CN"/>
        </w:rPr>
        <w:t>元</w:t>
      </w:r>
      <w:r>
        <w:rPr>
          <w:rFonts w:hint="eastAsia" w:ascii="仿宋_GB2312" w:eastAsia="仿宋_GB2312"/>
          <w:sz w:val="30"/>
          <w:szCs w:val="30"/>
        </w:rPr>
        <w:t>，其中：财政拨款收入1954600.66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度支出合计1958312.93</w:t>
      </w:r>
      <w:r>
        <w:rPr>
          <w:rFonts w:hint="eastAsia" w:ascii="仿宋_GB2312" w:eastAsia="仿宋_GB2312"/>
          <w:sz w:val="30"/>
          <w:szCs w:val="30"/>
          <w:lang w:eastAsia="zh-CN"/>
        </w:rPr>
        <w:t>元</w:t>
      </w:r>
      <w:r>
        <w:rPr>
          <w:rFonts w:hint="eastAsia" w:ascii="仿宋_GB2312" w:eastAsia="仿宋_GB2312"/>
          <w:sz w:val="30"/>
          <w:szCs w:val="30"/>
        </w:rPr>
        <w:t>，其中：基本支出1958312.93</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度年末结转和结余1082.46</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3712.27</w:t>
      </w:r>
      <w:r>
        <w:rPr>
          <w:rFonts w:hint="eastAsia" w:ascii="仿宋_GB2312" w:eastAsia="仿宋_GB2312"/>
          <w:sz w:val="30"/>
          <w:szCs w:val="30"/>
          <w:lang w:eastAsia="zh-CN"/>
        </w:rPr>
        <w:t>元。</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度财政拨款收入1954600.66</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303628.78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0.13</w:t>
      </w:r>
      <w:r>
        <w:rPr>
          <w:rFonts w:hint="eastAsia" w:ascii="仿宋_GB2312" w:eastAsia="仿宋_GB2312"/>
          <w:sz w:val="30"/>
          <w:szCs w:val="30"/>
        </w:rPr>
        <w:t>%</w:t>
      </w:r>
      <w:r>
        <w:rPr>
          <w:rFonts w:hint="eastAsia" w:ascii="仿宋_GB2312" w:eastAsia="仿宋_GB2312"/>
          <w:sz w:val="30"/>
          <w:szCs w:val="30"/>
          <w:lang w:eastAsia="zh-CN"/>
        </w:rPr>
        <w:t>，与年初预算数一致</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度财政拨款支出1958312.93</w:t>
      </w:r>
      <w:r>
        <w:rPr>
          <w:rFonts w:hint="eastAsia" w:ascii="仿宋_GB2312" w:eastAsia="仿宋_GB2312"/>
          <w:sz w:val="30"/>
          <w:szCs w:val="30"/>
          <w:lang w:eastAsia="zh-CN"/>
        </w:rPr>
        <w:t>元</w:t>
      </w:r>
      <w:r>
        <w:rPr>
          <w:rFonts w:hint="eastAsia" w:ascii="仿宋_GB2312" w:eastAsia="仿宋_GB2312"/>
          <w:sz w:val="30"/>
          <w:szCs w:val="30"/>
        </w:rPr>
        <w:t>，较上年决算数支出</w:t>
      </w:r>
      <w:r>
        <w:rPr>
          <w:rFonts w:hint="eastAsia" w:ascii="仿宋_GB2312" w:eastAsia="仿宋_GB2312"/>
          <w:sz w:val="30"/>
          <w:szCs w:val="30"/>
          <w:lang w:eastAsia="zh-CN"/>
        </w:rPr>
        <w:t>减少</w:t>
      </w:r>
      <w:r>
        <w:rPr>
          <w:rFonts w:hint="eastAsia" w:ascii="仿宋_GB2312" w:eastAsia="仿宋_GB2312"/>
          <w:sz w:val="30"/>
          <w:szCs w:val="30"/>
          <w:lang w:val="en-US" w:eastAsia="zh-CN"/>
        </w:rPr>
        <w:t>296035.96，</w:t>
      </w:r>
      <w:r>
        <w:rPr>
          <w:rFonts w:hint="eastAsia" w:ascii="仿宋_GB2312" w:eastAsia="仿宋_GB2312"/>
          <w:sz w:val="30"/>
          <w:szCs w:val="30"/>
          <w:lang w:eastAsia="zh-CN"/>
        </w:rPr>
        <w:t>减少</w:t>
      </w:r>
      <w:r>
        <w:rPr>
          <w:rFonts w:hint="eastAsia" w:ascii="仿宋_GB2312" w:eastAsia="仿宋_GB2312"/>
          <w:sz w:val="30"/>
          <w:szCs w:val="30"/>
          <w:lang w:val="en-US" w:eastAsia="zh-CN"/>
        </w:rPr>
        <w:t>0.13</w:t>
      </w:r>
      <w:r>
        <w:rPr>
          <w:rFonts w:hint="eastAsia" w:ascii="仿宋_GB2312" w:eastAsia="仿宋_GB2312"/>
          <w:sz w:val="30"/>
          <w:szCs w:val="30"/>
        </w:rPr>
        <w:t>%。</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度财政拨款支出主要用于以下方面：一般公共服务支出1879938.66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 xml:space="preserve">96 </w:t>
      </w:r>
      <w:r>
        <w:rPr>
          <w:rFonts w:hint="eastAsia" w:ascii="仿宋_GB2312" w:eastAsia="仿宋_GB2312"/>
          <w:color w:val="000000" w:themeColor="text1"/>
          <w:sz w:val="30"/>
          <w:szCs w:val="30"/>
          <w14:textFill>
            <w14:solidFill>
              <w14:schemeClr w14:val="tx1"/>
            </w14:solidFill>
          </w14:textFill>
        </w:rPr>
        <w:t>%；农林水支出</w:t>
      </w:r>
      <w:r>
        <w:rPr>
          <w:rFonts w:hint="eastAsia" w:ascii="仿宋_GB2312" w:eastAsia="仿宋_GB2312"/>
          <w:color w:val="000000" w:themeColor="text1"/>
          <w:sz w:val="30"/>
          <w:szCs w:val="30"/>
          <w:lang w:val="en-US" w:eastAsia="zh-CN"/>
          <w14:textFill>
            <w14:solidFill>
              <w14:schemeClr w14:val="tx1"/>
            </w14:solidFill>
          </w14:textFill>
        </w:rPr>
        <w:t>78374.27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4</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与年初预算数一致。</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度一般公共财政拨款基本支出1958312.93</w:t>
      </w:r>
      <w:r>
        <w:rPr>
          <w:rFonts w:hint="eastAsia" w:ascii="仿宋_GB2312" w:eastAsia="仿宋_GB2312"/>
          <w:sz w:val="30"/>
          <w:szCs w:val="30"/>
          <w:lang w:eastAsia="zh-CN"/>
        </w:rPr>
        <w:t>元</w:t>
      </w:r>
      <w:r>
        <w:rPr>
          <w:rFonts w:hint="eastAsia" w:ascii="仿宋_GB2312" w:eastAsia="仿宋_GB2312"/>
          <w:sz w:val="30"/>
          <w:szCs w:val="30"/>
        </w:rPr>
        <w:t>。其中：人员经费1765796.66</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60748.94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color w:val="auto"/>
          <w:sz w:val="30"/>
          <w:szCs w:val="30"/>
        </w:rPr>
        <w:t>人员经费用途主要包括基本工资、津贴补贴、奖金、离休费、退休费、抚恤金、生活补助</w:t>
      </w:r>
      <w:r>
        <w:rPr>
          <w:rFonts w:hint="eastAsia" w:ascii="仿宋_GB2312" w:eastAsia="仿宋_GB2312"/>
          <w:sz w:val="30"/>
          <w:szCs w:val="30"/>
        </w:rPr>
        <w:t>。公用经费78374.27</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增加</w:t>
      </w:r>
      <w:r>
        <w:rPr>
          <w:rFonts w:hint="eastAsia" w:ascii="仿宋_GB2312" w:eastAsia="仿宋_GB2312"/>
          <w:sz w:val="30"/>
          <w:szCs w:val="30"/>
          <w:lang w:val="en-US" w:eastAsia="zh-CN"/>
        </w:rPr>
        <w:t>6603.82</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实际支出增加</w:t>
      </w:r>
      <w:r>
        <w:rPr>
          <w:rFonts w:hint="eastAsia" w:ascii="仿宋_GB2312" w:eastAsia="仿宋_GB2312"/>
          <w:sz w:val="30"/>
          <w:szCs w:val="30"/>
        </w:rPr>
        <w:t>，</w:t>
      </w:r>
      <w:r>
        <w:rPr>
          <w:rFonts w:hint="eastAsia" w:ascii="仿宋_GB2312" w:eastAsia="仿宋_GB2312"/>
          <w:color w:val="auto"/>
          <w:sz w:val="30"/>
          <w:szCs w:val="30"/>
        </w:rPr>
        <w:t>公用经费用途主要包括办公费、邮电费、差旅费、劳务费、信息网络及软件购置更新。</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按预算执行</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，费用支出较年初预算数增加0元，主要原因是201</w:t>
      </w:r>
      <w:r>
        <w:rPr>
          <w:rFonts w:hint="eastAsia" w:ascii="仿宋_GB2312" w:eastAsia="仿宋_GB2312"/>
          <w:sz w:val="30"/>
          <w:szCs w:val="30"/>
          <w:lang w:val="en-US" w:eastAsia="zh-CN"/>
        </w:rPr>
        <w:t>9</w:t>
      </w:r>
      <w:r>
        <w:rPr>
          <w:rFonts w:hint="eastAsia" w:ascii="仿宋_GB2312" w:eastAsia="仿宋_GB2312"/>
          <w:sz w:val="30"/>
          <w:szCs w:val="30"/>
        </w:rPr>
        <w:t>当年无出国预算，亦无出国费用产生。</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color w:val="auto"/>
          <w:sz w:val="30"/>
          <w:szCs w:val="30"/>
        </w:rPr>
        <w:t>费用支出较年初预算数增加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无公车购置预算</w:t>
      </w:r>
      <w:r>
        <w:rPr>
          <w:rFonts w:hint="eastAsia" w:ascii="仿宋_GB2312" w:eastAsia="仿宋_GB2312"/>
          <w:color w:val="auto"/>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，主要用于</w:t>
      </w:r>
      <w:r>
        <w:rPr>
          <w:rFonts w:hint="eastAsia" w:ascii="仿宋_GB2312" w:eastAsia="仿宋_GB2312"/>
          <w:color w:val="auto"/>
          <w:sz w:val="30"/>
          <w:szCs w:val="30"/>
        </w:rPr>
        <w:t>工作所需车辆的燃料费、维修费、过桥过路费、保险费等</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按预算执行</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ascii="仿宋_GB2312" w:eastAsia="仿宋_GB2312"/>
          <w:sz w:val="30"/>
          <w:szCs w:val="30"/>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主要原因是本单位公</w:t>
      </w:r>
      <w:r>
        <w:rPr>
          <w:rFonts w:hint="eastAsia" w:ascii="仿宋_GB2312" w:eastAsia="仿宋_GB2312"/>
          <w:sz w:val="30"/>
          <w:szCs w:val="30"/>
          <w:lang w:eastAsia="zh-CN"/>
        </w:rPr>
        <w:t>务“零接待”</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ascii="仿宋_GB2312" w:eastAsia="仿宋_GB2312"/>
          <w:sz w:val="30"/>
          <w:szCs w:val="30"/>
        </w:rPr>
      </w:pP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rPr>
        <w:t xml:space="preserve"> 年度本部门因公出国（境）共计0个团组，0人；公务用车购置0辆，公务车保有量为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辆；国内公务接待0批次，0人。</w:t>
      </w:r>
      <w:r>
        <w:rPr>
          <w:rFonts w:hint="eastAsia" w:ascii="仿宋_GB2312" w:eastAsia="仿宋_GB2312"/>
          <w:sz w:val="30"/>
          <w:szCs w:val="30"/>
          <w:lang w:eastAsia="zh-CN"/>
        </w:rPr>
        <w:t>2018</w:t>
      </w:r>
      <w:r>
        <w:rPr>
          <w:rFonts w:hint="eastAsia" w:ascii="仿宋_GB2312" w:eastAsia="仿宋_GB2312"/>
          <w:sz w:val="30"/>
          <w:szCs w:val="30"/>
        </w:rPr>
        <w:t>年度本部门人均接待费0元，车均购置费0元，车均维护费</w:t>
      </w:r>
      <w:r>
        <w:rPr>
          <w:rFonts w:hint="eastAsia" w:ascii="仿宋_GB2312" w:eastAsia="仿宋_GB2312"/>
          <w:sz w:val="30"/>
          <w:szCs w:val="30"/>
          <w:lang w:val="en-US" w:eastAsia="zh-CN"/>
        </w:rPr>
        <w:t>0</w:t>
      </w:r>
      <w:r>
        <w:rPr>
          <w:rFonts w:hint="eastAsia" w:ascii="仿宋_GB2312" w:eastAsia="仿宋_GB2312"/>
          <w:sz w:val="30"/>
          <w:szCs w:val="30"/>
        </w:rPr>
        <w:t>元。</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本部门机关运行经费支出78374.27</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color w:val="auto"/>
          <w:sz w:val="30"/>
          <w:szCs w:val="30"/>
        </w:rPr>
        <w:t>机关运行经费主要用于开支办公费、公务车运行维护费、信息网络购置更新费等</w:t>
      </w:r>
      <w:r>
        <w:rPr>
          <w:rFonts w:hint="eastAsia" w:ascii="仿宋_GB2312" w:eastAsia="仿宋_GB2312"/>
          <w:sz w:val="30"/>
          <w:szCs w:val="30"/>
        </w:rPr>
        <w:t>。机关运行经费较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eastAsia="zh-CN"/>
        </w:rPr>
        <w:t>增加</w:t>
      </w:r>
      <w:r>
        <w:rPr>
          <w:rFonts w:hint="eastAsia" w:ascii="仿宋_GB2312" w:eastAsia="仿宋_GB2312"/>
          <w:sz w:val="30"/>
          <w:szCs w:val="30"/>
          <w:lang w:val="en-US" w:eastAsia="zh-CN"/>
        </w:rPr>
        <w:t>6603.82</w:t>
      </w:r>
      <w:r>
        <w:rPr>
          <w:rFonts w:hint="eastAsia"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9</w:t>
      </w:r>
      <w:r>
        <w:rPr>
          <w:rFonts w:hint="eastAsia" w:ascii="仿宋_GB2312" w:eastAsia="仿宋_GB2312"/>
          <w:sz w:val="30"/>
          <w:szCs w:val="30"/>
        </w:rPr>
        <w:t>%，主要原因是</w:t>
      </w:r>
      <w:r>
        <w:rPr>
          <w:rFonts w:hint="eastAsia" w:ascii="仿宋_GB2312" w:eastAsia="仿宋_GB2312"/>
          <w:sz w:val="30"/>
          <w:szCs w:val="30"/>
          <w:lang w:val="en-US" w:eastAsia="zh-CN"/>
        </w:rPr>
        <w:t>2019年相关开支增加</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9"/>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color w:val="auto"/>
          <w:sz w:val="30"/>
          <w:szCs w:val="30"/>
        </w:rPr>
        <w:t>其中：领导干部用车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辆、一般公务用车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辆、一般执法执勤用车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辆。单价50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0" w:firstLineChars="200"/>
        <w:rPr>
          <w:rFonts w:hint="eastAsia" w:ascii="仿宋_GB2312" w:eastAsia="仿宋_GB2312"/>
          <w:sz w:val="30"/>
          <w:szCs w:val="30"/>
          <w:lang w:eastAsia="zh-CN"/>
        </w:rPr>
      </w:pP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2" w:firstLineChars="200"/>
        <w:rPr>
          <w:rFonts w:ascii="黑体" w:hAnsi="黑体" w:eastAsia="黑体"/>
          <w:sz w:val="30"/>
          <w:szCs w:val="30"/>
        </w:rPr>
      </w:pPr>
      <w:r>
        <w:rPr>
          <w:rFonts w:hint="eastAsia" w:ascii="楷体_GB2312" w:eastAsia="楷体_GB2312"/>
          <w:b/>
          <w:sz w:val="30"/>
          <w:szCs w:val="30"/>
        </w:rPr>
        <w:t>（</w:t>
      </w:r>
      <w:r>
        <w:rPr>
          <w:rFonts w:hint="eastAsia" w:ascii="楷体_GB2312" w:eastAsia="楷体_GB2312"/>
          <w:b/>
          <w:sz w:val="30"/>
          <w:szCs w:val="30"/>
          <w:lang w:eastAsia="zh-CN"/>
        </w:rPr>
        <w:t>三</w:t>
      </w:r>
      <w:r>
        <w:rPr>
          <w:rFonts w:hint="eastAsia" w:ascii="楷体_GB2312" w:eastAsia="楷体_GB2312"/>
          <w:b/>
          <w:sz w:val="30"/>
          <w:szCs w:val="30"/>
        </w:rPr>
        <w:t>）预算绩效管理情况说明</w:t>
      </w:r>
      <w:r>
        <w:rPr>
          <w:rFonts w:hint="eastAsia" w:ascii="仿宋_GB2312" w:hAnsi="黑体" w:eastAsia="仿宋_GB2312"/>
          <w:sz w:val="30"/>
          <w:szCs w:val="30"/>
        </w:rPr>
        <w:t>。</w:t>
      </w:r>
    </w:p>
    <w:p>
      <w:pPr>
        <w:spacing w:line="620" w:lineRule="exact"/>
        <w:ind w:firstLine="600" w:firstLineChars="200"/>
        <w:rPr>
          <w:rFonts w:hint="default" w:ascii="仿宋_GB2312" w:eastAsia="仿宋_GB2312"/>
          <w:sz w:val="30"/>
          <w:szCs w:val="30"/>
          <w:lang w:val="en-US" w:eastAsia="zh-CN"/>
        </w:rPr>
      </w:pPr>
      <w:r>
        <w:rPr>
          <w:rFonts w:hint="eastAsia" w:ascii="仿宋_GB2312" w:eastAsia="仿宋_GB2312"/>
          <w:sz w:val="30"/>
          <w:szCs w:val="30"/>
        </w:rPr>
        <w:t>根据财政预算绩效管理要求，我部门组织对</w:t>
      </w:r>
      <w:r>
        <w:rPr>
          <w:rFonts w:hint="eastAsia" w:ascii="仿宋_GB2312" w:eastAsia="仿宋_GB2312"/>
          <w:sz w:val="30"/>
          <w:szCs w:val="30"/>
          <w:lang w:eastAsia="zh-CN"/>
        </w:rPr>
        <w:t>2019年</w:t>
      </w:r>
      <w:r>
        <w:rPr>
          <w:rFonts w:hint="eastAsia" w:ascii="仿宋_GB2312" w:eastAsia="仿宋_GB2312"/>
          <w:sz w:val="30"/>
          <w:szCs w:val="30"/>
        </w:rPr>
        <w:t>度一般公共预算项目支出开展绩效评价</w:t>
      </w:r>
      <w:r>
        <w:rPr>
          <w:rFonts w:hint="eastAsia" w:ascii="仿宋_GB2312" w:eastAsia="仿宋_GB2312"/>
          <w:sz w:val="30"/>
          <w:szCs w:val="30"/>
          <w:lang w:eastAsia="zh-CN"/>
        </w:rPr>
        <w:t>，因本部门为业务部门，不涉及项目支出，项目支出金额为</w:t>
      </w:r>
      <w:r>
        <w:rPr>
          <w:rFonts w:hint="eastAsia" w:ascii="仿宋_GB2312" w:eastAsia="仿宋_GB2312"/>
          <w:sz w:val="30"/>
          <w:szCs w:val="30"/>
          <w:lang w:val="en-US" w:eastAsia="zh-CN"/>
        </w:rPr>
        <w:t>0元，故不做项目绩效评价。</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
      <w:pPr>
        <w:ind w:firstLine="600" w:firstLineChars="200"/>
        <w:rPr>
          <w:rFonts w:ascii="仿宋_GB2312" w:eastAsia="仿宋_GB2312"/>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sdtPr>
    <w:sdtContent>
      <w:p>
        <w:pPr>
          <w:pStyle w:val="3"/>
          <w:jc w:val="center"/>
        </w:pPr>
        <w:r>
          <w:fldChar w:fldCharType="begin"/>
        </w:r>
        <w:r>
          <w:instrText xml:space="preserve"> PAGE   \* MERGEFORMAT </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AA"/>
    <w:rsid w:val="000159DE"/>
    <w:rsid w:val="00016568"/>
    <w:rsid w:val="000E7A56"/>
    <w:rsid w:val="000F5CF8"/>
    <w:rsid w:val="0019485D"/>
    <w:rsid w:val="002B7E30"/>
    <w:rsid w:val="002C0CA4"/>
    <w:rsid w:val="002C7E32"/>
    <w:rsid w:val="004E0C18"/>
    <w:rsid w:val="00545E5A"/>
    <w:rsid w:val="00577ABF"/>
    <w:rsid w:val="005B013D"/>
    <w:rsid w:val="005D1477"/>
    <w:rsid w:val="00677BF9"/>
    <w:rsid w:val="006A052A"/>
    <w:rsid w:val="006D442F"/>
    <w:rsid w:val="007163E8"/>
    <w:rsid w:val="007D2BBC"/>
    <w:rsid w:val="007E1FCC"/>
    <w:rsid w:val="0084256B"/>
    <w:rsid w:val="00897FD8"/>
    <w:rsid w:val="008A7621"/>
    <w:rsid w:val="0093453F"/>
    <w:rsid w:val="00945227"/>
    <w:rsid w:val="009A0C7F"/>
    <w:rsid w:val="009B40A6"/>
    <w:rsid w:val="00A31C95"/>
    <w:rsid w:val="00A41A61"/>
    <w:rsid w:val="00A47D7A"/>
    <w:rsid w:val="00A52996"/>
    <w:rsid w:val="00A91C19"/>
    <w:rsid w:val="00B8685C"/>
    <w:rsid w:val="00B86F79"/>
    <w:rsid w:val="00C54340"/>
    <w:rsid w:val="00D916B6"/>
    <w:rsid w:val="00E32DC4"/>
    <w:rsid w:val="00EC2F0E"/>
    <w:rsid w:val="00EE1E77"/>
    <w:rsid w:val="00F03FAA"/>
    <w:rsid w:val="00F07990"/>
    <w:rsid w:val="00F723F6"/>
    <w:rsid w:val="00F7394E"/>
    <w:rsid w:val="00F86650"/>
    <w:rsid w:val="026A1617"/>
    <w:rsid w:val="03975FDA"/>
    <w:rsid w:val="03C746F3"/>
    <w:rsid w:val="05530684"/>
    <w:rsid w:val="064676CC"/>
    <w:rsid w:val="0689474A"/>
    <w:rsid w:val="0759086B"/>
    <w:rsid w:val="08143318"/>
    <w:rsid w:val="09437632"/>
    <w:rsid w:val="0AF00B10"/>
    <w:rsid w:val="0B4A20CC"/>
    <w:rsid w:val="0D270E3F"/>
    <w:rsid w:val="134B1D23"/>
    <w:rsid w:val="16AD4672"/>
    <w:rsid w:val="17542C27"/>
    <w:rsid w:val="176A7465"/>
    <w:rsid w:val="19DA45A2"/>
    <w:rsid w:val="1A4222B5"/>
    <w:rsid w:val="1B371D52"/>
    <w:rsid w:val="201B1108"/>
    <w:rsid w:val="211E2A36"/>
    <w:rsid w:val="224F79CE"/>
    <w:rsid w:val="22A94633"/>
    <w:rsid w:val="2AC66D3B"/>
    <w:rsid w:val="2CCD1768"/>
    <w:rsid w:val="2DCC25DE"/>
    <w:rsid w:val="2EE0785A"/>
    <w:rsid w:val="2EE67926"/>
    <w:rsid w:val="2FF46E0D"/>
    <w:rsid w:val="327E7344"/>
    <w:rsid w:val="33F36ED2"/>
    <w:rsid w:val="35130FCB"/>
    <w:rsid w:val="35AB4C88"/>
    <w:rsid w:val="360B20BA"/>
    <w:rsid w:val="382A0E89"/>
    <w:rsid w:val="3B793BDF"/>
    <w:rsid w:val="3C7A28A0"/>
    <w:rsid w:val="3D065201"/>
    <w:rsid w:val="3EC175F5"/>
    <w:rsid w:val="403734CA"/>
    <w:rsid w:val="411A272C"/>
    <w:rsid w:val="413F4D90"/>
    <w:rsid w:val="44D554E7"/>
    <w:rsid w:val="46792FC7"/>
    <w:rsid w:val="47C33B4A"/>
    <w:rsid w:val="488D78F5"/>
    <w:rsid w:val="48AF27E5"/>
    <w:rsid w:val="49A108F5"/>
    <w:rsid w:val="4A0C1355"/>
    <w:rsid w:val="4E114BE8"/>
    <w:rsid w:val="506F46AB"/>
    <w:rsid w:val="530A5A77"/>
    <w:rsid w:val="53511A24"/>
    <w:rsid w:val="58751B5B"/>
    <w:rsid w:val="58B61091"/>
    <w:rsid w:val="59A904C5"/>
    <w:rsid w:val="59EF3DC1"/>
    <w:rsid w:val="5B0229A3"/>
    <w:rsid w:val="5B752E07"/>
    <w:rsid w:val="5BC671C5"/>
    <w:rsid w:val="5E63725D"/>
    <w:rsid w:val="5EB271B7"/>
    <w:rsid w:val="61C5556F"/>
    <w:rsid w:val="638010C3"/>
    <w:rsid w:val="6A0441DE"/>
    <w:rsid w:val="6B241FD1"/>
    <w:rsid w:val="6B9A5BA6"/>
    <w:rsid w:val="6C233700"/>
    <w:rsid w:val="6D151597"/>
    <w:rsid w:val="6D75333B"/>
    <w:rsid w:val="7158313B"/>
    <w:rsid w:val="71B32E9C"/>
    <w:rsid w:val="729607BB"/>
    <w:rsid w:val="77E17DD9"/>
    <w:rsid w:val="7A0344C4"/>
    <w:rsid w:val="7C402382"/>
    <w:rsid w:val="7CDD3E62"/>
    <w:rsid w:val="7DA160B9"/>
    <w:rsid w:val="7F311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Normal_4"/>
    <w:qFormat/>
    <w:uiPriority w:val="0"/>
    <w:pPr>
      <w:spacing w:before="120" w:after="240"/>
      <w:jc w:val="both"/>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E6B763-297B-4D29-9D1E-66F094638C5E}">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8</Pages>
  <Words>546</Words>
  <Characters>3115</Characters>
  <Lines>25</Lines>
  <Paragraphs>7</Paragraphs>
  <TotalTime>8</TotalTime>
  <ScaleCrop>false</ScaleCrop>
  <LinksUpToDate>false</LinksUpToDate>
  <CharactersWithSpaces>3654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2018-08-03T16:19:00Z</cp:lastPrinted>
  <dcterms:modified xsi:type="dcterms:W3CDTF">2020-11-06T03:26:25Z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