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仿宋_GB2312" w:eastAsia="仿宋_GB2312"/>
          <w:sz w:val="30"/>
          <w:szCs w:val="30"/>
        </w:rPr>
      </w:pPr>
      <w:r>
        <w:rPr>
          <w:rFonts w:hint="eastAsia" w:ascii="方正小标宋简体" w:eastAsia="方正小标宋简体"/>
          <w:color w:val="000000" w:themeColor="text1"/>
          <w:sz w:val="36"/>
          <w:szCs w:val="36"/>
          <w:lang w:eastAsia="zh-CN"/>
          <w14:textFill>
            <w14:solidFill>
              <w14:schemeClr w14:val="tx1"/>
            </w14:solidFill>
          </w14:textFill>
        </w:rPr>
        <w:t>积石山县幼儿园</w:t>
      </w:r>
      <w:r>
        <w:rPr>
          <w:rFonts w:hint="eastAsia" w:ascii="方正小标宋简体" w:eastAsia="方正小标宋简体"/>
          <w:sz w:val="36"/>
          <w:szCs w:val="36"/>
          <w:lang w:eastAsia="zh-CN"/>
        </w:rPr>
        <w:t>201</w:t>
      </w:r>
      <w:r>
        <w:rPr>
          <w:rFonts w:hint="eastAsia" w:ascii="方正小标宋简体" w:eastAsia="方正小标宋简体"/>
          <w:sz w:val="36"/>
          <w:szCs w:val="36"/>
          <w:lang w:val="en-US" w:eastAsia="zh-CN"/>
        </w:rPr>
        <w:t>9</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负责积石山县县城及郊区的学前教育工作。</w:t>
      </w:r>
    </w:p>
    <w:p>
      <w:pPr>
        <w:ind w:firstLine="602" w:firstLineChars="200"/>
        <w:rPr>
          <w:rFonts w:hint="default" w:ascii="楷体_GB2312" w:eastAsia="楷体_GB2312"/>
          <w:b/>
          <w:sz w:val="30"/>
          <w:szCs w:val="30"/>
          <w:lang w:val="en-US" w:eastAsia="zh-CN"/>
        </w:rPr>
      </w:pPr>
      <w:r>
        <w:rPr>
          <w:rFonts w:hint="eastAsia" w:ascii="楷体_GB2312" w:eastAsia="楷体_GB2312"/>
          <w:b/>
          <w:sz w:val="30"/>
          <w:szCs w:val="30"/>
        </w:rPr>
        <w:t>（二）机构设置</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本单位为一所县城公办幼儿园。</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2018年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ascii="仿宋_GB2312" w:eastAsia="仿宋_GB2312"/>
          <w:sz w:val="30"/>
          <w:szCs w:val="30"/>
        </w:rPr>
      </w:pPr>
      <w:r>
        <w:rPr>
          <w:rFonts w:hint="eastAsia" w:ascii="仿宋_GB2312" w:eastAsia="仿宋_GB2312"/>
          <w:sz w:val="30"/>
          <w:szCs w:val="30"/>
        </w:rPr>
        <w:t>表八：表政府性基金预算财政拨款收入支出决算表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w:t>
      </w:r>
      <w:r>
        <w:rPr>
          <w:rFonts w:hint="eastAsia" w:ascii="黑体" w:hAnsi="黑体" w:eastAsia="黑体"/>
          <w:sz w:val="30"/>
          <w:szCs w:val="30"/>
          <w:lang w:val="en-US" w:eastAsia="zh-CN"/>
        </w:rPr>
        <w:t>9</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color w:val="000000" w:themeColor="text1"/>
          <w:sz w:val="30"/>
          <w:szCs w:val="30"/>
          <w:lang w:val="en-US" w:eastAsia="zh-CN"/>
          <w14:textFill>
            <w14:solidFill>
              <w14:schemeClr w14:val="tx1"/>
            </w14:solidFill>
          </w14:textFill>
        </w:rPr>
        <w:t>2749202.78</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color w:val="000000" w:themeColor="text1"/>
          <w:sz w:val="30"/>
          <w:szCs w:val="30"/>
          <w:lang w:val="en-US" w:eastAsia="zh-CN"/>
          <w14:textFill>
            <w14:solidFill>
              <w14:schemeClr w14:val="tx1"/>
            </w14:solidFill>
          </w14:textFill>
        </w:rPr>
        <w:t>2783407.03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sz w:val="30"/>
          <w:szCs w:val="30"/>
        </w:rPr>
        <w:t>。与201</w:t>
      </w:r>
      <w:r>
        <w:rPr>
          <w:rFonts w:hint="eastAsia" w:ascii="仿宋_GB2312" w:eastAsia="仿宋_GB2312"/>
          <w:sz w:val="30"/>
          <w:szCs w:val="30"/>
          <w:lang w:val="en-US" w:eastAsia="zh-CN"/>
        </w:rPr>
        <w:t>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919625.43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25%，</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885421.18</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31</w:t>
      </w:r>
      <w:r>
        <w:rPr>
          <w:rFonts w:hint="eastAsia" w:ascii="仿宋_GB2312" w:eastAsia="仿宋_GB2312"/>
          <w:sz w:val="30"/>
          <w:szCs w:val="30"/>
        </w:rPr>
        <w:t>%。主要原因是</w:t>
      </w:r>
      <w:r>
        <w:rPr>
          <w:rFonts w:hint="eastAsia" w:ascii="仿宋_GB2312" w:eastAsia="仿宋_GB2312"/>
          <w:sz w:val="30"/>
          <w:szCs w:val="30"/>
          <w:lang w:val="en-US" w:eastAsia="zh-CN"/>
        </w:rPr>
        <w:t>2018年补发科学发展观奖金。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color w:val="000000" w:themeColor="text1"/>
          <w:sz w:val="30"/>
          <w:szCs w:val="30"/>
          <w:lang w:val="en-US" w:eastAsia="zh-CN"/>
          <w14:textFill>
            <w14:solidFill>
              <w14:schemeClr w14:val="tx1"/>
            </w14:solidFill>
          </w14:textFill>
        </w:rPr>
        <w:t>2749202.78</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2749202.78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2783407.03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3076.15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34204.25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color w:val="000000" w:themeColor="text1"/>
          <w:sz w:val="30"/>
          <w:szCs w:val="30"/>
          <w:lang w:eastAsia="zh-CN"/>
          <w14:textFill>
            <w14:solidFill>
              <w14:schemeClr w14:val="tx1"/>
            </w14:solidFill>
          </w14:textFill>
        </w:rPr>
        <w:t>支出增加。</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2749202.78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919625.43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25</w:t>
      </w:r>
      <w:r>
        <w:rPr>
          <w:rFonts w:hint="eastAsia" w:ascii="仿宋_GB2312" w:eastAsia="仿宋_GB2312"/>
          <w:sz w:val="30"/>
          <w:szCs w:val="30"/>
        </w:rPr>
        <w:t>%。主要原因是</w:t>
      </w:r>
      <w:r>
        <w:rPr>
          <w:rFonts w:hint="eastAsia" w:ascii="仿宋_GB2312" w:eastAsia="仿宋_GB2312"/>
          <w:color w:val="000000" w:themeColor="text1"/>
          <w:sz w:val="30"/>
          <w:szCs w:val="30"/>
          <w:lang w:eastAsia="zh-CN"/>
          <w14:textFill>
            <w14:solidFill>
              <w14:schemeClr w14:val="tx1"/>
            </w14:solidFill>
          </w14:textFill>
        </w:rPr>
        <w:t>办公经费减少</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2783407.03</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885421.18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31</w:t>
      </w:r>
      <w:r>
        <w:rPr>
          <w:rFonts w:hint="eastAsia" w:ascii="仿宋_GB2312" w:eastAsia="仿宋_GB2312"/>
          <w:sz w:val="30"/>
          <w:szCs w:val="30"/>
        </w:rPr>
        <w:t>%</w:t>
      </w:r>
      <w:r>
        <w:rPr>
          <w:rFonts w:hint="eastAsia" w:ascii="仿宋_GB2312" w:eastAsia="仿宋_GB2312"/>
          <w:sz w:val="30"/>
          <w:szCs w:val="30"/>
          <w:lang w:eastAsia="zh-CN"/>
        </w:rPr>
        <w:t>，主要原因是人员经费减少</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度财政拨款支出主要用于以下方面：一般公共服务支出</w:t>
      </w:r>
      <w:r>
        <w:rPr>
          <w:rFonts w:hint="eastAsia" w:ascii="仿宋_GB2312" w:eastAsia="仿宋_GB2312"/>
          <w:sz w:val="30"/>
          <w:szCs w:val="30"/>
          <w:lang w:val="en-US" w:eastAsia="zh-CN"/>
        </w:rPr>
        <w:t>555460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20</w:t>
      </w:r>
      <w:r>
        <w:rPr>
          <w:rFonts w:hint="eastAsia" w:ascii="仿宋_GB2312" w:eastAsia="仿宋_GB2312"/>
          <w:sz w:val="30"/>
          <w:szCs w:val="30"/>
        </w:rPr>
        <w:t>%，教育支出</w:t>
      </w:r>
      <w:r>
        <w:rPr>
          <w:rFonts w:hint="eastAsia" w:ascii="仿宋_GB2312" w:eastAsia="仿宋_GB2312"/>
          <w:sz w:val="30"/>
          <w:szCs w:val="30"/>
          <w:lang w:val="en-US" w:eastAsia="zh-CN"/>
        </w:rPr>
        <w:t>2012081.96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80</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215849.13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lang w:val="en-US" w:eastAsia="zh-CN"/>
          <w14:textFill>
            <w14:solidFill>
              <w14:schemeClr w14:val="tx1"/>
            </w14:solidFill>
          </w14:textFill>
        </w:rPr>
        <w:t>.</w:t>
      </w:r>
      <w:bookmarkStart w:id="0" w:name="_GoBack"/>
      <w:bookmarkEnd w:id="0"/>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2783407.03</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2053748.18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代课教师工资</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sz w:val="30"/>
          <w:szCs w:val="30"/>
        </w:rPr>
        <w:t>人员经费用途主要包括</w:t>
      </w:r>
      <w:r>
        <w:rPr>
          <w:rFonts w:hint="eastAsia" w:ascii="仿宋_GB2312" w:eastAsia="仿宋_GB2312"/>
          <w:color w:val="000000" w:themeColor="text1"/>
          <w:sz w:val="30"/>
          <w:szCs w:val="30"/>
          <w14:textFill>
            <w14:solidFill>
              <w14:schemeClr w14:val="tx1"/>
            </w14:solidFill>
          </w14:textFill>
        </w:rPr>
        <w:t>基本工资、津贴补贴、奖金、社会保障缴费等</w:t>
      </w:r>
      <w:r>
        <w:rPr>
          <w:rFonts w:hint="eastAsia" w:ascii="仿宋_GB2312" w:eastAsia="仿宋_GB2312"/>
          <w:sz w:val="30"/>
          <w:szCs w:val="30"/>
        </w:rPr>
        <w:t>。公用经费</w:t>
      </w:r>
      <w:r>
        <w:rPr>
          <w:rFonts w:hint="eastAsia" w:ascii="仿宋_GB2312" w:eastAsia="仿宋_GB2312"/>
          <w:sz w:val="30"/>
          <w:szCs w:val="30"/>
          <w:lang w:val="en-US" w:eastAsia="zh-CN"/>
        </w:rPr>
        <w:t>2012097.90</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，公用经费用途主要包括办公费、印刷费、咨询费、手续费等。</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四、“三公”经费情况说明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（一）“三公”经费支出总额情况。</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年度本部门“三公”经费支出共计</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（二）“三公”经费分项支出情况。</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度本部门因公出国（境）费用</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楷体_GB2312" w:eastAsia="楷体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（三）“三公”经费实物量情况。</w:t>
      </w:r>
    </w:p>
    <w:p>
      <w:pPr>
        <w:ind w:firstLine="1200" w:firstLineChars="400"/>
        <w:rPr>
          <w:rFonts w:hint="eastAsia" w:ascii="黑体" w:hAnsi="黑体" w:eastAsia="黑体"/>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五、其他需要说明的事项</w:t>
      </w:r>
    </w:p>
    <w:p>
      <w:pPr>
        <w:ind w:firstLine="602"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 机关运行经费情况说明。</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本部门机关运行经费支出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p>
    <w:p>
      <w:pPr>
        <w:ind w:firstLine="602"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 国有资产占用情况说明。</w:t>
      </w:r>
      <w:r>
        <w:rPr>
          <w:rFonts w:hint="eastAsia" w:ascii="仿宋_GB2312" w:eastAsia="仿宋_GB2312"/>
          <w:color w:val="000000" w:themeColor="text1"/>
          <w:sz w:val="30"/>
          <w:szCs w:val="30"/>
          <w14:textFill>
            <w14:solidFill>
              <w14:schemeClr w14:val="tx1"/>
            </w14:solidFill>
          </w14:textFill>
        </w:rPr>
        <w:t>截至</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12月31日，本部门共有车辆</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其中： 单价50</w:t>
      </w:r>
      <w:r>
        <w:rPr>
          <w:rFonts w:hint="eastAsia" w:ascii="仿宋_GB2312" w:eastAsia="仿宋_GB2312"/>
          <w:color w:val="000000" w:themeColor="text1"/>
          <w:sz w:val="30"/>
          <w:szCs w:val="30"/>
          <w:lang w:eastAsia="zh-CN"/>
          <w14:textFill>
            <w14:solidFill>
              <w14:schemeClr w14:val="tx1"/>
            </w14:solidFill>
          </w14:textFill>
        </w:rPr>
        <w:t>万元</w:t>
      </w:r>
      <w:r>
        <w:rPr>
          <w:rFonts w:hint="eastAsia" w:ascii="仿宋_GB2312" w:eastAsia="仿宋_GB2312"/>
          <w:color w:val="000000" w:themeColor="text1"/>
          <w:sz w:val="30"/>
          <w:szCs w:val="30"/>
          <w14:textFill>
            <w14:solidFill>
              <w14:schemeClr w14:val="tx1"/>
            </w14:solidFill>
          </w14:textFill>
        </w:rPr>
        <w:t>以上通用设备</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台（套），单价100</w:t>
      </w:r>
      <w:r>
        <w:rPr>
          <w:rFonts w:hint="eastAsia" w:ascii="仿宋_GB2312" w:eastAsia="仿宋_GB2312"/>
          <w:color w:val="000000" w:themeColor="text1"/>
          <w:sz w:val="30"/>
          <w:szCs w:val="30"/>
          <w:lang w:eastAsia="zh-CN"/>
          <w14:textFill>
            <w14:solidFill>
              <w14:schemeClr w14:val="tx1"/>
            </w14:solidFill>
          </w14:textFill>
        </w:rPr>
        <w:t>万元</w:t>
      </w:r>
      <w:r>
        <w:rPr>
          <w:rFonts w:hint="eastAsia" w:ascii="仿宋_GB2312" w:eastAsia="仿宋_GB2312"/>
          <w:color w:val="000000" w:themeColor="text1"/>
          <w:sz w:val="30"/>
          <w:szCs w:val="30"/>
          <w14:textFill>
            <w14:solidFill>
              <w14:schemeClr w14:val="tx1"/>
            </w14:solidFill>
          </w14:textFill>
        </w:rPr>
        <w:t>以上专用设备</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台（套）。</w:t>
      </w:r>
    </w:p>
    <w:p>
      <w:pPr>
        <w:ind w:firstLine="602" w:firstLineChars="200"/>
        <w:rPr>
          <w:rFonts w:hint="eastAsia"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 政府采购支出情况说明。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本部门政府采购支出总额</w:t>
      </w:r>
      <w:r>
        <w:rPr>
          <w:rFonts w:hint="eastAsia" w:ascii="仿宋_GB2312" w:eastAsia="仿宋_GB2312"/>
          <w:sz w:val="30"/>
          <w:szCs w:val="30"/>
          <w:lang w:val="en-US" w:eastAsia="zh-CN"/>
        </w:rPr>
        <w:t>2783407.03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，其中：政府采购货物支出</w:t>
      </w:r>
      <w:r>
        <w:rPr>
          <w:rFonts w:hint="eastAsia" w:ascii="仿宋_GB2312" w:eastAsia="仿宋_GB2312"/>
          <w:sz w:val="30"/>
          <w:szCs w:val="30"/>
          <w:lang w:val="en-US" w:eastAsia="zh-CN"/>
        </w:rPr>
        <w:t>2783407.03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、政府采购工程支出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政府采购服务支出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。主要用于采购</w:t>
      </w:r>
      <w:r>
        <w:rPr>
          <w:rFonts w:hint="eastAsia" w:ascii="仿宋_GB2312" w:eastAsia="仿宋_GB2312"/>
          <w:color w:val="000000" w:themeColor="text1"/>
          <w:sz w:val="30"/>
          <w:szCs w:val="30"/>
          <w:lang w:eastAsia="zh-CN"/>
          <w14:textFill>
            <w14:solidFill>
              <w14:schemeClr w14:val="tx1"/>
            </w14:solidFill>
          </w14:textFill>
        </w:rPr>
        <w:t>办公耗材、教学用具、维修校园文化建设等</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黑体" w:hAnsi="黑体" w:eastAsia="黑体"/>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（四）预算绩效管理情况说明</w:t>
      </w:r>
    </w:p>
    <w:p>
      <w:pPr>
        <w:ind w:firstLine="900" w:firstLineChars="300"/>
        <w:rPr>
          <w:rFonts w:hint="eastAsia" w:ascii="黑体" w:hAnsi="黑体" w:eastAsia="黑体"/>
          <w:color w:val="000000" w:themeColor="text1"/>
          <w:sz w:val="30"/>
          <w:szCs w:val="30"/>
          <w:lang w:eastAsia="zh-CN"/>
          <w14:textFill>
            <w14:solidFill>
              <w14:schemeClr w14:val="tx1"/>
            </w14:solidFill>
          </w14:textFill>
        </w:rPr>
      </w:pPr>
      <w:r>
        <w:rPr>
          <w:rFonts w:hint="eastAsia" w:ascii="黑体" w:hAnsi="黑体" w:eastAsia="黑体"/>
          <w:color w:val="000000" w:themeColor="text1"/>
          <w:sz w:val="30"/>
          <w:szCs w:val="30"/>
          <w:lang w:eastAsia="zh-CN"/>
          <w14:textFill>
            <w14:solidFill>
              <w14:schemeClr w14:val="tx1"/>
            </w14:solidFill>
          </w14:textFill>
        </w:rPr>
        <w:t>无</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六、专业名词解释。</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（一）财政拨款收入：</w:t>
      </w:r>
      <w:r>
        <w:rPr>
          <w:rFonts w:hint="eastAsia" w:ascii="仿宋_GB2312" w:eastAsia="仿宋_GB2312"/>
          <w:color w:val="000000" w:themeColor="text1"/>
          <w:sz w:val="30"/>
          <w:szCs w:val="30"/>
          <w14:textFill>
            <w14:solidFill>
              <w14:schemeClr w14:val="tx1"/>
            </w14:solidFill>
          </w14:textFill>
        </w:rPr>
        <w:t>指本年度从本级财政部门取得的财政拨款，包括一般公共预算财政拨款和政府性基金预算财政拨款。</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（二）事业收入：</w:t>
      </w:r>
      <w:r>
        <w:rPr>
          <w:rFonts w:hint="eastAsia" w:ascii="仿宋_GB2312" w:eastAsia="仿宋_GB2312"/>
          <w:color w:val="000000" w:themeColor="text1"/>
          <w:sz w:val="30"/>
          <w:szCs w:val="30"/>
          <w14:textFill>
            <w14:solidFill>
              <w14:schemeClr w14:val="tx1"/>
            </w14:solidFill>
          </w14:textFill>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（三）经营收入：</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指事业单位在专业业务活动及其辅助活动之外开展非独立核算经营活动取得的收入。</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（四）其他收入：</w:t>
      </w:r>
      <w:r>
        <w:rPr>
          <w:rFonts w:hint="eastAsia" w:ascii="仿宋_GB2312" w:eastAsia="仿宋_GB2312"/>
          <w:color w:val="000000" w:themeColor="text1"/>
          <w:sz w:val="30"/>
          <w:szCs w:val="30"/>
          <w14:textFill>
            <w14:solidFill>
              <w14:schemeClr w14:val="tx1"/>
            </w14:solidFill>
          </w14:textFill>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（五）用事业基金弥补收支差额：</w:t>
      </w:r>
      <w:r>
        <w:rPr>
          <w:rFonts w:hint="eastAsia" w:ascii="仿宋_GB2312" w:eastAsia="仿宋_GB2312"/>
          <w:color w:val="000000" w:themeColor="text1"/>
          <w:sz w:val="30"/>
          <w:szCs w:val="30"/>
          <w14:textFill>
            <w14:solidFill>
              <w14:schemeClr w14:val="tx1"/>
            </w14:solidFill>
          </w14:textFill>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（六）年初结转和结余：</w:t>
      </w:r>
      <w:r>
        <w:rPr>
          <w:rFonts w:hint="eastAsia" w:ascii="仿宋_GB2312" w:eastAsia="仿宋_GB2312"/>
          <w:color w:val="000000" w:themeColor="text1"/>
          <w:sz w:val="30"/>
          <w:szCs w:val="30"/>
          <w14:textFill>
            <w14:solidFill>
              <w14:schemeClr w14:val="tx1"/>
            </w14:solidFill>
          </w14:textFill>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（七）结余分配：</w:t>
      </w:r>
      <w:r>
        <w:rPr>
          <w:rFonts w:hint="eastAsia" w:ascii="仿宋_GB2312" w:eastAsia="仿宋_GB2312"/>
          <w:color w:val="000000" w:themeColor="text1"/>
          <w:sz w:val="30"/>
          <w:szCs w:val="30"/>
          <w14:textFill>
            <w14:solidFill>
              <w14:schemeClr w14:val="tx1"/>
            </w14:solidFill>
          </w14:textFill>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（八）年末结转和结余：</w:t>
      </w:r>
      <w:r>
        <w:rPr>
          <w:rFonts w:hint="eastAsia" w:ascii="仿宋_GB2312" w:eastAsia="仿宋_GB2312"/>
          <w:color w:val="000000" w:themeColor="text1"/>
          <w:sz w:val="30"/>
          <w:szCs w:val="30"/>
          <w14:textFill>
            <w14:solidFill>
              <w14:schemeClr w14:val="tx1"/>
            </w14:solidFill>
          </w14:textFill>
        </w:rPr>
        <w:t>指单位结转下年的基本支出结转、项目支出结转和结余、经营结余。不包括事业单位净资产项下的事业基金和专用基金。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（九）基本支出：</w:t>
      </w:r>
      <w:r>
        <w:rPr>
          <w:rFonts w:hint="eastAsia" w:ascii="仿宋_GB2312" w:eastAsia="仿宋_GB2312"/>
          <w:color w:val="000000" w:themeColor="text1"/>
          <w:sz w:val="30"/>
          <w:szCs w:val="30"/>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（十）项目支出：</w:t>
      </w:r>
      <w:r>
        <w:rPr>
          <w:rFonts w:hint="eastAsia" w:ascii="仿宋_GB2312" w:eastAsia="仿宋_GB2312"/>
          <w:color w:val="000000" w:themeColor="text1"/>
          <w:sz w:val="30"/>
          <w:szCs w:val="30"/>
          <w14:textFill>
            <w14:solidFill>
              <w14:schemeClr w14:val="tx1"/>
            </w14:solidFill>
          </w14:textFill>
        </w:rPr>
        <w:t>指在基本支出之外为完成特定行政任务和事业发展目标所发生的支出。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（十一）经营支出：</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（十二）“三公”经费：</w:t>
      </w:r>
      <w:r>
        <w:rPr>
          <w:rFonts w:hint="eastAsia" w:ascii="仿宋_GB2312" w:eastAsia="仿宋_GB2312"/>
          <w:color w:val="000000" w:themeColor="text1"/>
          <w:sz w:val="30"/>
          <w:szCs w:val="30"/>
          <w14:textFill>
            <w14:solidFill>
              <w14:schemeClr w14:val="tx1"/>
            </w14:solidFill>
          </w14:textFill>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（十三）机关运行经费：</w:t>
      </w:r>
      <w:r>
        <w:rPr>
          <w:rFonts w:hint="eastAsia" w:ascii="仿宋_GB2312" w:eastAsia="仿宋_GB2312"/>
          <w:color w:val="000000" w:themeColor="text1"/>
          <w:sz w:val="30"/>
          <w:szCs w:val="30"/>
          <w14:textFill>
            <w14:solidFill>
              <w14:schemeClr w14:val="tx1"/>
            </w14:solidFill>
          </w14:textFill>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（十四）工资福利支出（支出经济分类科目类级）：</w:t>
      </w:r>
      <w:r>
        <w:rPr>
          <w:rFonts w:hint="eastAsia" w:ascii="仿宋_GB2312" w:eastAsia="仿宋_GB2312"/>
          <w:color w:val="000000" w:themeColor="text1"/>
          <w:sz w:val="30"/>
          <w:szCs w:val="30"/>
          <w14:textFill>
            <w14:solidFill>
              <w14:schemeClr w14:val="tx1"/>
            </w14:solidFill>
          </w14:textFill>
        </w:rPr>
        <w:t>反映单位开支的在职职工和编制外长期聘用人员的各类劳动报酬，以及为上述人员缴纳的各项社会保险费等。</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（十五）商品和服务支出（支出经济分类科目类级）：</w:t>
      </w:r>
      <w:r>
        <w:rPr>
          <w:rFonts w:hint="eastAsia" w:ascii="仿宋_GB2312" w:eastAsia="仿宋_GB2312"/>
          <w:color w:val="000000" w:themeColor="text1"/>
          <w:sz w:val="30"/>
          <w:szCs w:val="30"/>
          <w14:textFill>
            <w14:solidFill>
              <w14:schemeClr w14:val="tx1"/>
            </w14:solidFill>
          </w14:textFill>
        </w:rPr>
        <w:t>反映单位购买商品和服务的支出（不包括用于购置固定资产的支出、战略性和应急储备支出）。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（十六）对个人和家庭的补助（支出经济分类科目类级）：</w:t>
      </w:r>
      <w:r>
        <w:rPr>
          <w:rFonts w:hint="eastAsia" w:ascii="仿宋_GB2312" w:eastAsia="仿宋_GB2312"/>
          <w:color w:val="000000" w:themeColor="text1"/>
          <w:sz w:val="30"/>
          <w:szCs w:val="30"/>
          <w14:textFill>
            <w14:solidFill>
              <w14:schemeClr w14:val="tx1"/>
            </w14:solidFill>
          </w14:textFill>
        </w:rPr>
        <w:t>反映用于对个人和家庭的补助支出。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（十七）其他资本性支出（支出经济分类科目类级）：</w:t>
      </w:r>
      <w:r>
        <w:rPr>
          <w:rFonts w:hint="eastAsia" w:ascii="仿宋_GB2312" w:eastAsia="仿宋_GB2312"/>
          <w:color w:val="000000" w:themeColor="text1"/>
          <w:sz w:val="30"/>
          <w:szCs w:val="30"/>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注：</w:t>
      </w:r>
      <w:r>
        <w:rPr>
          <w:rFonts w:hint="eastAsia" w:ascii="仿宋_GB2312" w:eastAsia="仿宋_GB2312"/>
          <w:color w:val="000000" w:themeColor="text1"/>
          <w:sz w:val="30"/>
          <w:szCs w:val="30"/>
          <w14:textFill>
            <w14:solidFill>
              <w14:schemeClr w14:val="tx1"/>
            </w14:solidFill>
          </w14:textFill>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0" w:firstLineChars="200"/>
        <w:rPr>
          <w:rFonts w:ascii="仿宋_GB2312" w:eastAsia="仿宋_GB2312"/>
          <w:color w:val="000000" w:themeColor="text1"/>
          <w:sz w:val="30"/>
          <w:szCs w:val="30"/>
          <w14:textFill>
            <w14:solidFill>
              <w14:schemeClr w14:val="tx1"/>
            </w14:solidFill>
          </w14:textFill>
        </w:rPr>
      </w:pPr>
    </w:p>
    <w:p>
      <w:pPr>
        <w:jc w:val="right"/>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2020年10月21日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4C634B"/>
    <w:rsid w:val="03074348"/>
    <w:rsid w:val="03964763"/>
    <w:rsid w:val="05DC75F4"/>
    <w:rsid w:val="074C2D72"/>
    <w:rsid w:val="087833B3"/>
    <w:rsid w:val="09153D7F"/>
    <w:rsid w:val="092E6672"/>
    <w:rsid w:val="09BF463B"/>
    <w:rsid w:val="09F36031"/>
    <w:rsid w:val="0A531507"/>
    <w:rsid w:val="0ADB4F81"/>
    <w:rsid w:val="0B8E5970"/>
    <w:rsid w:val="0B993042"/>
    <w:rsid w:val="0BFD1363"/>
    <w:rsid w:val="0C086AEA"/>
    <w:rsid w:val="0C1100E8"/>
    <w:rsid w:val="0C4E04EC"/>
    <w:rsid w:val="0CEE150A"/>
    <w:rsid w:val="0D560438"/>
    <w:rsid w:val="0E1241B5"/>
    <w:rsid w:val="0F5A1B21"/>
    <w:rsid w:val="0FA40BB5"/>
    <w:rsid w:val="10074FF0"/>
    <w:rsid w:val="101A5DDC"/>
    <w:rsid w:val="10660E8C"/>
    <w:rsid w:val="115F3345"/>
    <w:rsid w:val="11ED6CD4"/>
    <w:rsid w:val="11FE2BF9"/>
    <w:rsid w:val="12AB247D"/>
    <w:rsid w:val="140613E9"/>
    <w:rsid w:val="143C12DA"/>
    <w:rsid w:val="148206D7"/>
    <w:rsid w:val="14DB15D0"/>
    <w:rsid w:val="15E225C2"/>
    <w:rsid w:val="172E14B1"/>
    <w:rsid w:val="17542C27"/>
    <w:rsid w:val="18184403"/>
    <w:rsid w:val="18F1352C"/>
    <w:rsid w:val="195166F2"/>
    <w:rsid w:val="195E20F9"/>
    <w:rsid w:val="19D7702B"/>
    <w:rsid w:val="1AE113AE"/>
    <w:rsid w:val="1B4037C1"/>
    <w:rsid w:val="1B943FD8"/>
    <w:rsid w:val="1BB13D2A"/>
    <w:rsid w:val="1BFE4D0E"/>
    <w:rsid w:val="1D011684"/>
    <w:rsid w:val="1D7F1C35"/>
    <w:rsid w:val="1DD64839"/>
    <w:rsid w:val="1E0267E3"/>
    <w:rsid w:val="1E040D4A"/>
    <w:rsid w:val="1FB2554A"/>
    <w:rsid w:val="1FD92612"/>
    <w:rsid w:val="2058605C"/>
    <w:rsid w:val="20EC05D3"/>
    <w:rsid w:val="21290F28"/>
    <w:rsid w:val="21AE4381"/>
    <w:rsid w:val="22DA43D8"/>
    <w:rsid w:val="246D0C78"/>
    <w:rsid w:val="258C1E39"/>
    <w:rsid w:val="25E749C7"/>
    <w:rsid w:val="25F21160"/>
    <w:rsid w:val="261423E5"/>
    <w:rsid w:val="26B63045"/>
    <w:rsid w:val="27081C76"/>
    <w:rsid w:val="27C203A6"/>
    <w:rsid w:val="28952ABC"/>
    <w:rsid w:val="28A80C9C"/>
    <w:rsid w:val="29FA4C8B"/>
    <w:rsid w:val="2B913CF7"/>
    <w:rsid w:val="2C2643F4"/>
    <w:rsid w:val="2C346075"/>
    <w:rsid w:val="2CA43B0E"/>
    <w:rsid w:val="2DAF118D"/>
    <w:rsid w:val="2EE67926"/>
    <w:rsid w:val="2F9D0D54"/>
    <w:rsid w:val="2FEE2F2B"/>
    <w:rsid w:val="31753ED6"/>
    <w:rsid w:val="326353D2"/>
    <w:rsid w:val="32D378AB"/>
    <w:rsid w:val="35130FCB"/>
    <w:rsid w:val="35BB3764"/>
    <w:rsid w:val="36F037C8"/>
    <w:rsid w:val="380E114E"/>
    <w:rsid w:val="39225587"/>
    <w:rsid w:val="39B949E2"/>
    <w:rsid w:val="3A9217E8"/>
    <w:rsid w:val="3AF84657"/>
    <w:rsid w:val="3DDB0D2C"/>
    <w:rsid w:val="3EAC3DDB"/>
    <w:rsid w:val="3EE30981"/>
    <w:rsid w:val="3F07594D"/>
    <w:rsid w:val="3F3225A7"/>
    <w:rsid w:val="3FC67B95"/>
    <w:rsid w:val="41B47208"/>
    <w:rsid w:val="41CE6997"/>
    <w:rsid w:val="423C295D"/>
    <w:rsid w:val="42B44FE0"/>
    <w:rsid w:val="442634B8"/>
    <w:rsid w:val="445F64E8"/>
    <w:rsid w:val="44EF110F"/>
    <w:rsid w:val="458C2069"/>
    <w:rsid w:val="45A4388E"/>
    <w:rsid w:val="46270D52"/>
    <w:rsid w:val="46604EE8"/>
    <w:rsid w:val="47184080"/>
    <w:rsid w:val="475F3798"/>
    <w:rsid w:val="48AF3490"/>
    <w:rsid w:val="48FA3DB9"/>
    <w:rsid w:val="4AAE0FD5"/>
    <w:rsid w:val="4C356379"/>
    <w:rsid w:val="4C871A61"/>
    <w:rsid w:val="4E05109C"/>
    <w:rsid w:val="4ED82A7C"/>
    <w:rsid w:val="4F52009B"/>
    <w:rsid w:val="510C728D"/>
    <w:rsid w:val="510E00B5"/>
    <w:rsid w:val="53373BE3"/>
    <w:rsid w:val="547332F4"/>
    <w:rsid w:val="548359F9"/>
    <w:rsid w:val="560B39BB"/>
    <w:rsid w:val="56C468AD"/>
    <w:rsid w:val="575628F5"/>
    <w:rsid w:val="5BA03463"/>
    <w:rsid w:val="5BB0639C"/>
    <w:rsid w:val="5D1050D2"/>
    <w:rsid w:val="5D663898"/>
    <w:rsid w:val="5DD0505F"/>
    <w:rsid w:val="5DF40020"/>
    <w:rsid w:val="5E8C02F1"/>
    <w:rsid w:val="5F2727A8"/>
    <w:rsid w:val="618C23AD"/>
    <w:rsid w:val="61B80F0F"/>
    <w:rsid w:val="62A91DE9"/>
    <w:rsid w:val="65214B31"/>
    <w:rsid w:val="6792109B"/>
    <w:rsid w:val="69F23EA2"/>
    <w:rsid w:val="6A67135E"/>
    <w:rsid w:val="6AAC3C35"/>
    <w:rsid w:val="6C0E7412"/>
    <w:rsid w:val="6C385784"/>
    <w:rsid w:val="6C6A4C8F"/>
    <w:rsid w:val="6D411927"/>
    <w:rsid w:val="6D75333B"/>
    <w:rsid w:val="6DED1281"/>
    <w:rsid w:val="6E844B9B"/>
    <w:rsid w:val="6F455142"/>
    <w:rsid w:val="6FD67620"/>
    <w:rsid w:val="70484438"/>
    <w:rsid w:val="716B6A00"/>
    <w:rsid w:val="72485159"/>
    <w:rsid w:val="727B79EA"/>
    <w:rsid w:val="72F40C33"/>
    <w:rsid w:val="731B4CD0"/>
    <w:rsid w:val="740A1937"/>
    <w:rsid w:val="75635167"/>
    <w:rsid w:val="75833AE2"/>
    <w:rsid w:val="76E06251"/>
    <w:rsid w:val="772B36CF"/>
    <w:rsid w:val="78061B25"/>
    <w:rsid w:val="798D0A94"/>
    <w:rsid w:val="799D16FD"/>
    <w:rsid w:val="7A0344C4"/>
    <w:rsid w:val="7B4B6AF8"/>
    <w:rsid w:val="7C0213C2"/>
    <w:rsid w:val="7C7D1C2B"/>
    <w:rsid w:val="7CDD3E62"/>
    <w:rsid w:val="7D04376C"/>
    <w:rsid w:val="7D252462"/>
    <w:rsid w:val="7D824A33"/>
    <w:rsid w:val="7DFB0294"/>
    <w:rsid w:val="7E484FDF"/>
    <w:rsid w:val="7F4D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2020-11-05T16:08:07Z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