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2552"/>
        <w:gridCol w:w="283"/>
        <w:gridCol w:w="938"/>
        <w:gridCol w:w="479"/>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5"/>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val="en-US" w:eastAsia="zh-CN"/>
              </w:rPr>
              <w:t>积石山</w:t>
            </w:r>
            <w:r>
              <w:rPr>
                <w:rFonts w:hint="eastAsia" w:ascii="宋体" w:hAnsi="宋体" w:cs="宋体"/>
                <w:b/>
                <w:sz w:val="44"/>
                <w:szCs w:val="44"/>
              </w:rPr>
              <w:t>县</w:t>
            </w:r>
            <w:r>
              <w:rPr>
                <w:rFonts w:hint="eastAsia" w:ascii="宋体" w:hAnsi="宋体" w:cs="宋体"/>
                <w:b/>
                <w:sz w:val="44"/>
                <w:szCs w:val="44"/>
                <w:lang w:eastAsia="zh-CN"/>
              </w:rPr>
              <w:t>吹麻滩</w:t>
            </w:r>
            <w:r>
              <w:rPr>
                <w:rFonts w:hint="eastAsia" w:ascii="宋体" w:hAnsi="宋体" w:cs="宋体"/>
                <w:b/>
                <w:sz w:val="44"/>
                <w:szCs w:val="44"/>
                <w:lang w:val="en-US" w:eastAsia="zh-CN"/>
              </w:rPr>
              <w:t>镇人民政府政务公开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9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4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2"/>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938"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479"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tabs>
                <w:tab w:val="center" w:pos="4153"/>
                <w:tab w:val="right" w:pos="8306"/>
                <w:tab w:val="clear" w:pos="312"/>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p>
            <w:pPr>
              <w:widowControl w:val="0"/>
              <w:numPr>
                <w:numId w:val="0"/>
              </w:numPr>
              <w:tabs>
                <w:tab w:val="center" w:pos="4153"/>
                <w:tab w:val="right" w:pos="8306"/>
              </w:tabs>
              <w:snapToGrid w:val="0"/>
              <w:spacing w:line="360" w:lineRule="auto"/>
              <w:jc w:val="both"/>
              <w:rPr>
                <w:rFonts w:hint="eastAsia" w:ascii="宋体" w:hAnsi="宋体" w:cs="宋体"/>
                <w:color w:val="000000"/>
                <w:sz w:val="18"/>
                <w:szCs w:val="18"/>
              </w:rPr>
            </w:pPr>
          </w:p>
          <w:p>
            <w:pPr>
              <w:widowControl w:val="0"/>
              <w:numPr>
                <w:numId w:val="0"/>
              </w:numPr>
              <w:tabs>
                <w:tab w:val="center" w:pos="4153"/>
                <w:tab w:val="right" w:pos="8306"/>
              </w:tabs>
              <w:snapToGrid w:val="0"/>
              <w:spacing w:line="360" w:lineRule="auto"/>
              <w:jc w:val="both"/>
              <w:rPr>
                <w:rFonts w:hint="eastAsia" w:ascii="宋体" w:hAnsi="宋体" w:cs="宋体"/>
                <w:color w:val="000000"/>
                <w:sz w:val="18"/>
                <w:szCs w:val="18"/>
              </w:rPr>
            </w:pPr>
          </w:p>
          <w:p>
            <w:pPr>
              <w:widowControl w:val="0"/>
              <w:numPr>
                <w:numId w:val="0"/>
              </w:numPr>
              <w:tabs>
                <w:tab w:val="center" w:pos="4153"/>
                <w:tab w:val="right" w:pos="8306"/>
              </w:tabs>
              <w:snapToGrid w:val="0"/>
              <w:spacing w:line="360" w:lineRule="auto"/>
              <w:jc w:val="both"/>
              <w:rPr>
                <w:rFonts w:hint="eastAsia" w:ascii="宋体" w:hAnsi="宋体" w:cs="宋体"/>
                <w:color w:val="000000"/>
                <w:sz w:val="18"/>
                <w:szCs w:val="18"/>
              </w:rPr>
            </w:pPr>
          </w:p>
          <w:p>
            <w:pPr>
              <w:widowControl w:val="0"/>
              <w:numPr>
                <w:numId w:val="0"/>
              </w:numPr>
              <w:tabs>
                <w:tab w:val="center" w:pos="4153"/>
                <w:tab w:val="right" w:pos="8306"/>
              </w:tabs>
              <w:snapToGrid w:val="0"/>
              <w:spacing w:line="360" w:lineRule="auto"/>
              <w:jc w:val="both"/>
              <w:rPr>
                <w:rFonts w:hint="eastAsia" w:ascii="宋体" w:hAnsi="宋体" w:cs="宋体"/>
                <w:color w:val="000000"/>
                <w:sz w:val="18"/>
                <w:szCs w:val="18"/>
              </w:rPr>
            </w:pPr>
          </w:p>
          <w:p>
            <w:pPr>
              <w:widowControl w:val="0"/>
              <w:numPr>
                <w:numId w:val="0"/>
              </w:numPr>
              <w:tabs>
                <w:tab w:val="center" w:pos="4153"/>
                <w:tab w:val="right" w:pos="8306"/>
              </w:tabs>
              <w:snapToGrid w:val="0"/>
              <w:spacing w:line="360" w:lineRule="auto"/>
              <w:jc w:val="both"/>
              <w:rPr>
                <w:rFonts w:hint="eastAsia" w:ascii="宋体" w:hAnsi="宋体" w:cs="宋体"/>
                <w:color w:val="000000"/>
                <w:sz w:val="18"/>
                <w:szCs w:val="18"/>
              </w:rPr>
            </w:pP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15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15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46"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宋体"/>
                <w:lang w:val="en-US" w:eastAsia="zh-CN"/>
              </w:rPr>
            </w:pPr>
            <w:r>
              <w:rPr>
                <w:rFonts w:hint="eastAsia"/>
                <w:lang w:val="en-US" w:eastAsia="zh-CN"/>
              </w:rPr>
              <w:t>17</w:t>
            </w:r>
          </w:p>
        </w:tc>
        <w:tc>
          <w:tcPr>
            <w:tcW w:w="8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15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55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p>
            <w:pPr>
              <w:tabs>
                <w:tab w:val="center" w:pos="4153"/>
                <w:tab w:val="right" w:pos="8306"/>
              </w:tabs>
              <w:snapToGrid w:val="0"/>
              <w:spacing w:line="360" w:lineRule="auto"/>
              <w:rPr>
                <w:rFonts w:hint="eastAsia" w:ascii="宋体" w:hAnsi="宋体" w:cs="宋体"/>
                <w:color w:val="000000"/>
                <w:sz w:val="18"/>
                <w:szCs w:val="18"/>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46"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宋体"/>
                <w:lang w:val="en-US" w:eastAsia="zh-CN"/>
              </w:rPr>
            </w:pPr>
            <w:r>
              <w:rPr>
                <w:rFonts w:hint="eastAsia"/>
                <w:lang w:val="en-US" w:eastAsia="zh-CN"/>
              </w:rPr>
              <w:t>18</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15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55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46"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4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4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4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4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4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4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p>
            <w:pPr>
              <w:widowControl/>
              <w:jc w:val="center"/>
              <w:rPr>
                <w:rFonts w:hint="eastAsia" w:ascii="宋体" w:hAnsi="宋体" w:cs="宋体"/>
                <w:color w:val="000000"/>
                <w:sz w:val="18"/>
                <w:szCs w:val="18"/>
              </w:rPr>
            </w:pP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县级人民政府、乡镇人民府、村委会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县人民政府、镇人民政府、村委会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各行业扶贫财政资金主管部门和东西部扶贫协作资金主管部门、镇、</w:t>
            </w:r>
            <w:r>
              <w:rPr>
                <w:rFonts w:hint="eastAsia" w:ascii="宋体" w:hAnsi="宋体" w:cs="宋体"/>
                <w:color w:val="000000"/>
                <w:sz w:val="18"/>
                <w:szCs w:val="18"/>
                <w:lang w:eastAsia="zh-CN"/>
              </w:rPr>
              <w:t>政府</w:t>
            </w:r>
            <w:r>
              <w:rPr>
                <w:rFonts w:hint="eastAsia" w:ascii="宋体" w:hAnsi="宋体" w:cs="宋体"/>
                <w:color w:val="000000"/>
                <w:sz w:val="18"/>
                <w:szCs w:val="18"/>
                <w:lang w:val="en-US" w:eastAsia="zh-CN"/>
              </w:rPr>
              <w:t xml:space="preserve"> </w:t>
            </w:r>
            <w:r>
              <w:rPr>
                <w:rFonts w:hint="eastAsia" w:ascii="宋体" w:hAnsi="宋体" w:cs="宋体"/>
                <w:color w:val="000000"/>
                <w:sz w:val="18"/>
                <w:szCs w:val="18"/>
              </w:rPr>
              <w:t>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县人民政府、镇人民政府、村委会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县人民政府、镇人民政府、村委会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6"/>
                <w:szCs w:val="16"/>
              </w:rPr>
              <w:t>·扶贫项目实施前情况（包括项目名称、资金来源、实施期限、绩效目标、实施单位及责任人、受益对象和带贫减贫机制等）</w:t>
            </w:r>
            <w:r>
              <w:rPr>
                <w:rFonts w:hint="eastAsia" w:ascii="宋体" w:hAnsi="宋体" w:cs="宋体"/>
                <w:color w:val="000000"/>
                <w:sz w:val="16"/>
                <w:szCs w:val="16"/>
              </w:rPr>
              <w:br w:type="textWrapping"/>
            </w:r>
            <w:r>
              <w:rPr>
                <w:rFonts w:hint="eastAsia" w:ascii="宋体" w:hAnsi="宋体" w:cs="宋体"/>
                <w:color w:val="000000"/>
                <w:sz w:val="16"/>
                <w:szCs w:val="16"/>
              </w:rPr>
              <w:t>·扶贫项目实施后情况（包括资金使用、项目实施结果、检查验收结果、绩效目标实现情况等</w:t>
            </w:r>
            <w:r>
              <w:rPr>
                <w:rFonts w:hint="eastAsia" w:ascii="宋体" w:hAnsi="宋体" w:cs="宋体"/>
                <w:color w:val="000000"/>
                <w:sz w:val="18"/>
                <w:szCs w:val="18"/>
              </w:rPr>
              <w:t>）</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县人民政府、镇人民政府、村委会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9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bookmarkStart w:id="0" w:name="_GoBack"/>
            <w:bookmarkEnd w:id="0"/>
          </w:p>
        </w:tc>
        <w:tc>
          <w:tcPr>
            <w:tcW w:w="93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4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0436"/>
    <w:multiLevelType w:val="singleLevel"/>
    <w:tmpl w:val="2AD50436"/>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BCD62C3"/>
    <w:rsid w:val="0E212D65"/>
    <w:rsid w:val="0E90020F"/>
    <w:rsid w:val="149D6DDD"/>
    <w:rsid w:val="1AD079BC"/>
    <w:rsid w:val="1BAD125F"/>
    <w:rsid w:val="2038784D"/>
    <w:rsid w:val="21704AF1"/>
    <w:rsid w:val="26A9713A"/>
    <w:rsid w:val="308826AC"/>
    <w:rsid w:val="350E7B3B"/>
    <w:rsid w:val="458E7A14"/>
    <w:rsid w:val="4BD72EDE"/>
    <w:rsid w:val="4E623785"/>
    <w:rsid w:val="5AD604D9"/>
    <w:rsid w:val="5C997607"/>
    <w:rsid w:val="69103CC1"/>
    <w:rsid w:val="7C5D4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38</TotalTime>
  <ScaleCrop>false</ScaleCrop>
  <LinksUpToDate>false</LinksUpToDate>
  <CharactersWithSpaces>17075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2020-11-25T01:33:01Z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