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积石山县大河家学区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2024年部门预算公开情况说明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部门/单位基本概况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2024年部门/单位预算情况说明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一、部门职责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（1）贯彻实施国家中小学基础教育工作方针政策和法律法规，拟定学校基础教育发展规划，并组织实施。健全完善基础教育教学服务体系。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（2）拟定学校基础设教育教学工作规划，并组织实施。有效整合学校教育设备资源，组织实施学校教育设备及资产的管理制度，加强对小学基础教育设备及资产的监督管理。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按照年初制定的教育教学目标和要求，学校坚持以提升教育教学质量为中心，通过强化教育教学研究和常规管理，深入推行教育教学改革，全面推进素质教育，努力探索教育特色发战之路，推进基础教育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560" w:lineRule="exact"/>
        <w:ind w:firstLine="64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我校独立核算机构1个，包括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所村级完全小学及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7个教学点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，根据202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年12月份统发工资职工1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1600" w:firstLineChars="500"/>
        <w:rPr>
          <w:rFonts w:hint="eastAsia" w:ascii="楷体_GB2312" w:hAnsi="楷体" w:eastAsia="楷体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宋体"/>
          <w:b w:val="0"/>
          <w:bCs w:val="0"/>
          <w:kern w:val="0"/>
          <w:sz w:val="32"/>
          <w:szCs w:val="32"/>
          <w:lang w:eastAsia="zh-CN"/>
        </w:rPr>
        <w:t>没有</w:t>
      </w:r>
      <w:r>
        <w:rPr>
          <w:rFonts w:hint="eastAsia" w:ascii="楷体_GB2312" w:hAnsi="楷体" w:eastAsia="楷体_GB2312" w:cs="宋体"/>
          <w:b w:val="0"/>
          <w:bCs w:val="0"/>
          <w:kern w:val="0"/>
          <w:sz w:val="32"/>
          <w:szCs w:val="32"/>
        </w:rPr>
        <w:t>参照公务员法管理单位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1600" w:firstLineChars="500"/>
        <w:rPr>
          <w:rFonts w:ascii="楷体_GB2312" w:hAnsi="楷体" w:eastAsia="楷体_GB2312" w:cs="宋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 w:val="0"/>
          <w:bCs w:val="0"/>
          <w:kern w:val="0"/>
          <w:sz w:val="32"/>
          <w:szCs w:val="32"/>
          <w:lang w:eastAsia="zh-CN"/>
        </w:rPr>
        <w:t>没有</w:t>
      </w:r>
      <w:r>
        <w:rPr>
          <w:rFonts w:hint="eastAsia" w:ascii="楷体_GB2312" w:hAnsi="楷体" w:eastAsia="楷体_GB2312" w:cs="宋体"/>
          <w:b w:val="0"/>
          <w:bCs w:val="0"/>
          <w:kern w:val="0"/>
          <w:sz w:val="32"/>
          <w:szCs w:val="32"/>
        </w:rPr>
        <w:t>直属事业单位</w:t>
      </w:r>
    </w:p>
    <w:p>
      <w:pPr>
        <w:spacing w:line="600" w:lineRule="exact"/>
        <w:ind w:firstLine="320" w:firstLineChars="1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按照预算管理有关规定，2024年部门收支包括机关预算和直属单位预算在内的汇总情况。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万元（详见部门/单位预算公开表1,2）。按照综合预算的原则，部门所有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工资</w:t>
      </w:r>
      <w:r>
        <w:rPr>
          <w:rFonts w:hint="eastAsia" w:ascii="仿宋_GB2312" w:hAnsi="仿宋" w:eastAsia="仿宋_GB2312"/>
          <w:sz w:val="32"/>
          <w:szCs w:val="32"/>
        </w:rPr>
        <w:t>收入和支出均纳入部门预算管理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。其中同工同酬工资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115.41万元，临聘人员工资228.144万元，在职人员工资2542.546万元。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2024年支出预算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Fonts w:hint="eastAsia" w:ascii="仿宋_GB2312" w:hAnsi="仿宋" w:eastAsia="仿宋_GB2312"/>
          <w:sz w:val="32"/>
          <w:szCs w:val="32"/>
        </w:rPr>
        <w:t>万元（详见部门/单位预算公开表3）。</w:t>
      </w:r>
      <w:r>
        <w:rPr>
          <w:rStyle w:val="20"/>
          <w:rFonts w:hint="default" w:hAnsi="仿宋"/>
        </w:rPr>
        <w:t>其中：基本支出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Style w:val="20"/>
          <w:rFonts w:hint="default" w:hAnsi="仿宋"/>
        </w:rPr>
        <w:t xml:space="preserve">万元， 占 </w:t>
      </w:r>
      <w:r>
        <w:rPr>
          <w:rStyle w:val="20"/>
          <w:rFonts w:hint="eastAsia" w:hAnsi="仿宋" w:eastAsia="仿宋_GB2312"/>
          <w:lang w:val="en-US" w:eastAsia="zh-CN"/>
        </w:rPr>
        <w:t>100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 xml:space="preserve">； 项目支出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上年结转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 占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Style w:val="20"/>
          <w:rFonts w:hint="default" w:hAnsi="仿宋"/>
        </w:rPr>
        <w:t>万元，包括：一般公共服务支出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Style w:val="20"/>
          <w:rFonts w:hint="default" w:hAnsi="仿宋"/>
        </w:rPr>
        <w:t>万元、公共安全支出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万元、教育支出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万元、科学技术支出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万元、其他支出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（详见部门（单位）预算公开表4,5,6,7）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2024年基本支出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847.52</w:t>
      </w:r>
      <w:r>
        <w:rPr>
          <w:rFonts w:hint="eastAsia" w:ascii="仿宋_GB2312" w:hAnsi="仿宋" w:eastAsia="仿宋_GB2312"/>
          <w:sz w:val="32"/>
          <w:szCs w:val="32"/>
        </w:rPr>
        <w:t xml:space="preserve">万元，增长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41.57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人员增。</w:t>
      </w: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2886.10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 、其他对个人和家庭的补助等。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公用经费支出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2024年一般公共预算财政拨款项目支出预算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万元，比2023年预算增加（减少）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%，增长（减少）的主要原因是……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经济社会发展项目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个，主要是项目1、项目2、项目3……。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保障运转经费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个，主要是项目1、项目2、项目3……。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其他项目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个，主要是项目1、项目2、项目3……。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1.因公出国（境）费用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2.公务接待费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万元，公务用车运行维护费   万元），较2023年预算增加（减少）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%，增长（下降）的主要原因是……。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 万元，较2023年预算增加（减少）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   %，增长（下降）的主要原因是……。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5.会议费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%，增长（下降）的主要原因是……。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机关运行经费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万元，较2023年预算增加（减少）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%，增长（下降）的主要原因是……。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2024年，部门（单位）政府采购预算总额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万元，其中：政府采购货物预算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万元，政府采购工程预算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    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4615.94</w:t>
      </w:r>
      <w:r>
        <w:rPr>
          <w:rFonts w:hint="eastAsia" w:ascii="仿宋_GB2312" w:hAnsi="仿宋" w:eastAsia="仿宋_GB2312"/>
          <w:sz w:val="32"/>
          <w:szCs w:val="32"/>
        </w:rPr>
        <w:t>万元。其中：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房屋建筑物48363</w:t>
      </w:r>
      <w:r>
        <w:rPr>
          <w:rFonts w:hint="eastAsia" w:ascii="仿宋_GB2312" w:hAnsi="仿宋" w:eastAsia="仿宋_GB2312"/>
          <w:sz w:val="32"/>
          <w:szCs w:val="32"/>
        </w:rPr>
        <w:t xml:space="preserve">平方米，价值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4060.18</w:t>
      </w:r>
      <w:r>
        <w:rPr>
          <w:rFonts w:hint="eastAsia" w:ascii="仿宋_GB2312" w:hAnsi="仿宋" w:eastAsia="仿宋_GB2312"/>
          <w:sz w:val="32"/>
          <w:szCs w:val="32"/>
        </w:rPr>
        <w:t>万元。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设备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273件，价值311.86万元。图书档案41928册，价值49.14万元。家用家具6951件，价值194.76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 xml:space="preserve">预算部门（单位）共有公务用车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辆，价值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积石山县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大河家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学区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大河家学区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eastAsia="zh-CN"/>
        </w:rPr>
        <w:t>大河家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  <w:lang w:val="en-US" w:eastAsia="zh-CN"/>
        </w:rPr>
        <w:t>学区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adjustRightInd w:val="0"/>
        <w:snapToGrid w:val="0"/>
        <w:spacing w:line="640" w:lineRule="exact"/>
        <w:contextualSpacing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"/>
        <w:gridCol w:w="3662"/>
        <w:gridCol w:w="1498"/>
        <w:gridCol w:w="881"/>
        <w:gridCol w:w="2406"/>
        <w:gridCol w:w="1214"/>
        <w:gridCol w:w="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：                   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部门收支总体情况表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exact"/>
          <w:jc w:val="center"/>
        </w:trPr>
        <w:tc>
          <w:tcPr>
            <w:tcW w:w="43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23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一、一般公共预算财政拨款收入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一、一般公共服务支出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二、政府性基金预算财政拨款收入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二、外交支出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三、国有资本经营预算收入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三、国防支出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四、教育专户核算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四、公共安全支出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五、事业收入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五、教育支出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六、上级补助收入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六、科学技术支出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七、附属单位上缴收入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七、文化旅游体育与传媒支出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八、经营收入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八、社会保障和就业支出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九、其他收入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九、社会保险基金支出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十、卫生健康支出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十一、节能环保支出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十二、城乡社区支出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十三、农林水支出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十四、交通运输支出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十五、资源勘探工业信息等支出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十六、商业服务业等支出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十七、金融支出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十八、援助其他地区支出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十九、自然资源海洋气象等支出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二十、住房保障支出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二十一、粮油物资储备支出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二十二、国有资本经营预算支出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二十三、灾害防治及应急管理支出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二十四、预备费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二十五、其他支出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二十六、转移性支出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二十七、债务还本支出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二十八、债务付息支出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二十九、债务发行费用支出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三十、抗疫特别国债还本支出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 年 收 入 合 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　年　支　出　合　计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上年结转结余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年终结转结余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  入  总  计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6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  出  总  计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521" w:hRule="atLeast"/>
        </w:trPr>
        <w:tc>
          <w:tcPr>
            <w:tcW w:w="49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 xml:space="preserve">表2：            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部门收入总体情况表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一、一般公共预算资金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财政拨款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本年收入合计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二、上年结转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财政性资金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教育专户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非财政性资金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8" w:type="pct"/>
          <w:wAfter w:w="49" w:type="pct"/>
          <w:trHeight w:val="1134" w:hRule="exact"/>
        </w:trPr>
        <w:tc>
          <w:tcPr>
            <w:tcW w:w="30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收入合计</w:t>
            </w:r>
          </w:p>
        </w:tc>
        <w:tc>
          <w:tcPr>
            <w:tcW w:w="1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10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7"/>
        <w:gridCol w:w="1701"/>
        <w:gridCol w:w="1547"/>
        <w:gridCol w:w="1502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 xml:space="preserve">表3：                 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部门支出总体情况表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支出合计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普通教育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both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942"/>
        <w:gridCol w:w="1184"/>
        <w:gridCol w:w="844"/>
        <w:gridCol w:w="828"/>
        <w:gridCol w:w="577"/>
        <w:gridCol w:w="694"/>
        <w:gridCol w:w="662"/>
        <w:gridCol w:w="288"/>
        <w:gridCol w:w="498"/>
        <w:gridCol w:w="692"/>
        <w:gridCol w:w="553"/>
        <w:gridCol w:w="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550" w:hRule="exact"/>
        </w:trPr>
        <w:tc>
          <w:tcPr>
            <w:tcW w:w="492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表4：             财政拨款收支总体情况表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2061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285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一、本年收入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一、本年支出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（一）一般公共预算财政拨款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（一）一般公共服务支出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（二）政府性基金预算财政拨款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（二）外交支出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（三）国有资本经营预算财政拨款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（三）国防支出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（四）公共安全支出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（五）教育支出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2,297.36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（六）科学技术支出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（七）文化体育与传媒支出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（八）社会保障和就业支出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（九）社会保险基金支出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（十）医疗卫生与计划生育支出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（十一）节能环保支出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（十二）城乡社区支出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（十三）农林水支出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（十四）交通运输支出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（十五）资源勘探信息等支出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（十六）商业服务业等支出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（十七）金融支出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（十八）援助其他地区支出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（十九）国土海洋气象等支出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（二十）住房保障支出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（二十一）粮油物资储备支出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（二十二）国有资本经营预算支出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（二十三）灾害防治及应急管理支出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（二十四）预备费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（二十五）其他支出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（二十六）债务还本支出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（二十七）债务付息支出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（二十八）债务发行费用支出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Hiragino Sans GB" w:hAnsi="Hiragino Sans GB" w:eastAsia="Hiragino Sans GB" w:cs="Hiragino Sans GB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8" w:type="pct"/>
          <w:trHeight w:val="397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    入    总    计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82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    出    总    计</w:t>
            </w:r>
          </w:p>
        </w:tc>
        <w:tc>
          <w:tcPr>
            <w:tcW w:w="10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表5：                 财政拨款支出表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一般公共预算支出</w:t>
            </w:r>
          </w:p>
        </w:tc>
        <w:tc>
          <w:tcPr>
            <w:tcW w:w="11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政府性基金预算支出</w:t>
            </w:r>
          </w:p>
        </w:tc>
        <w:tc>
          <w:tcPr>
            <w:tcW w:w="9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国有资本经营预算支出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积石山县教育局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积石山县大河家镇大河家小学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备注：无内容应公开空表并说明情况。</w:t>
            </w: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111"/>
        <w:gridCol w:w="2101"/>
        <w:gridCol w:w="2101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表6：             一般公共预算支出情况表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32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2886.099178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2297.360098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2297.360098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20502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普通教育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2297.360098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2297.360098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2050202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2297.360098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2297.360098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385.586904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385.586904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385.586904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385.586904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385.586904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385.586904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1.9764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1.9764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1.9764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1.9764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1.9764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1.9764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201.175776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201.175776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201.175776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201.175776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201.175776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201.175776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both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3055"/>
        <w:gridCol w:w="1722"/>
        <w:gridCol w:w="1996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表7：                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5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28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2,886.10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2,852.57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33.53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33.53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2,852.57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2,852.57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419.16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419.16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1,075.02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1,075.02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25.15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25.15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271.59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271.59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741.15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741.15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119.33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119.33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201.18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687"/>
        <w:gridCol w:w="911"/>
        <w:gridCol w:w="688"/>
        <w:gridCol w:w="688"/>
        <w:gridCol w:w="688"/>
        <w:gridCol w:w="688"/>
        <w:gridCol w:w="1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表8： 一般公共预算“三公”经费、会议费、培训费支出情况表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8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9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公务用车购置和运行费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81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公务用车运行费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8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67"/>
        <w:gridCol w:w="2268"/>
        <w:gridCol w:w="2221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表9：           一般公共预算机关运行经费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2"/>
        <w:gridCol w:w="2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表10：          政府性基金预算支出情况表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56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614"/>
        <w:gridCol w:w="1788"/>
        <w:gridCol w:w="2142"/>
        <w:gridCol w:w="2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表11：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 xml:space="preserve">              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部门管理转移支付表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一般公共预算项目支出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政府性基金预算项目支出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国有资本经营预算项目支出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640" w:lineRule="exact"/>
        <w:contextualSpacing/>
        <w:jc w:val="center"/>
        <w:rPr>
          <w:rFonts w:hint="eastAsia" w:ascii="黑体" w:eastAsia="黑体"/>
          <w:sz w:val="30"/>
          <w:szCs w:val="30"/>
        </w:rPr>
      </w:pPr>
    </w:p>
    <w:tbl>
      <w:tblPr>
        <w:tblW w:w="9605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5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表12：        国有资本经营预算支出情况表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hint="eastAsia" w:ascii="黑体" w:eastAsia="黑体"/>
          <w:sz w:val="30"/>
          <w:szCs w:val="30"/>
        </w:rPr>
      </w:pPr>
    </w:p>
    <w:p>
      <w:pPr>
        <w:spacing w:line="36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部门/单位整体支出绩效目标表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25"/>
        <w:gridCol w:w="846"/>
        <w:gridCol w:w="817"/>
        <w:gridCol w:w="1537"/>
        <w:gridCol w:w="1738"/>
        <w:gridCol w:w="1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部门（单位）名称</w:t>
            </w:r>
          </w:p>
        </w:tc>
        <w:tc>
          <w:tcPr>
            <w:tcW w:w="56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积石山县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大河家学区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总 体 目 标</w:t>
            </w:r>
          </w:p>
        </w:tc>
        <w:tc>
          <w:tcPr>
            <w:tcW w:w="810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目标1：贯彻执行党和国家的教育方针、政策和法规，拟订学区规章制度，并组织实施。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目标2：协助教育行政部门做好教师编制核定、资格认定、职称评审、调配和交流、教师培训和考核等工作。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目标3：保障单位人员工资及时发放、单位正常运转，不断提高业务水平。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 算 情 况（万元）</w:t>
            </w:r>
          </w:p>
        </w:tc>
        <w:tc>
          <w:tcPr>
            <w:tcW w:w="32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按支出类型分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按来源类型分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人员经费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2886.10</w:t>
            </w: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当年财政拨款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2886.10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公用经费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上年结转资金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其他资金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项目支出</w:t>
            </w:r>
          </w:p>
        </w:tc>
        <w:tc>
          <w:tcPr>
            <w:tcW w:w="15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收入预算合计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支出预算合计</w:t>
            </w: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 效 指 标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部门管理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资金投入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基本支出预算执行率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资金使用规范性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人员管理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在职人员控制率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履职效果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部门履职目标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教育教学质量提高率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494"/>
              </w:tabs>
              <w:jc w:val="left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部门效果目标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教师职称评定达标率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社会影响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被服务群众满意度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能力建设</w:t>
            </w: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长效管理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长效管理机制建立健全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人力资源建设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人力资源建设规范性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39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档案管理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档案管理规范性</w:t>
            </w:r>
          </w:p>
        </w:tc>
        <w:tc>
          <w:tcPr>
            <w:tcW w:w="3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规范</w:t>
            </w:r>
          </w:p>
        </w:tc>
      </w:tr>
    </w:tbl>
    <w:p/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项目支出绩效目标表</w:t>
      </w:r>
    </w:p>
    <w:p>
      <w:pPr>
        <w:spacing w:line="560" w:lineRule="exac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（2024年度）</w:t>
      </w:r>
    </w:p>
    <w:tbl>
      <w:tblPr>
        <w:tblStyle w:val="8"/>
        <w:tblW w:w="529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108"/>
        <w:gridCol w:w="2782"/>
        <w:gridCol w:w="544"/>
        <w:gridCol w:w="1497"/>
        <w:gridCol w:w="774"/>
        <w:gridCol w:w="25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43" w:type="pct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主管部门及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07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其中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当年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57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647" w:type="pct"/>
            <w:gridSpan w:val="3"/>
            <w:vAlign w:val="center"/>
          </w:tcPr>
          <w:p>
            <w:pPr>
              <w:widowControl/>
              <w:spacing w:line="360" w:lineRule="exact"/>
              <w:ind w:firstLine="900" w:firstLineChars="5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296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总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体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4685" w:type="pct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目标1：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目标2：</w:t>
            </w:r>
          </w:p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目标3：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5" w:type="pct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794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34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1848"/>
        </w:tabs>
      </w:pPr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MDM2Mjc4MzM3N2EyNDk3MDI4ZDIzNzlhYzM0YTIifQ=="/>
  </w:docVars>
  <w:rsids>
    <w:rsidRoot w:val="00172A27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B4BD6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621A56"/>
    <w:rsid w:val="01826A17"/>
    <w:rsid w:val="06155CFB"/>
    <w:rsid w:val="09616F12"/>
    <w:rsid w:val="0A56459C"/>
    <w:rsid w:val="0BA80B53"/>
    <w:rsid w:val="0EE83C31"/>
    <w:rsid w:val="10F863AD"/>
    <w:rsid w:val="113741D2"/>
    <w:rsid w:val="13070B2A"/>
    <w:rsid w:val="1D34261E"/>
    <w:rsid w:val="1F4629DA"/>
    <w:rsid w:val="21205290"/>
    <w:rsid w:val="21B36C3E"/>
    <w:rsid w:val="231B417D"/>
    <w:rsid w:val="257A518B"/>
    <w:rsid w:val="25D53E1D"/>
    <w:rsid w:val="27314F2A"/>
    <w:rsid w:val="27CE17BE"/>
    <w:rsid w:val="29E928DF"/>
    <w:rsid w:val="2EEE2746"/>
    <w:rsid w:val="31077AEF"/>
    <w:rsid w:val="31CF549D"/>
    <w:rsid w:val="32342F55"/>
    <w:rsid w:val="3778461E"/>
    <w:rsid w:val="382B0567"/>
    <w:rsid w:val="38DB3D3B"/>
    <w:rsid w:val="3C7F70D3"/>
    <w:rsid w:val="4DB82445"/>
    <w:rsid w:val="4F31425D"/>
    <w:rsid w:val="527E074E"/>
    <w:rsid w:val="54E9180B"/>
    <w:rsid w:val="579503FF"/>
    <w:rsid w:val="5ECC5D50"/>
    <w:rsid w:val="60535296"/>
    <w:rsid w:val="607F732C"/>
    <w:rsid w:val="627007D0"/>
    <w:rsid w:val="636522D0"/>
    <w:rsid w:val="64B56D82"/>
    <w:rsid w:val="666B5E4F"/>
    <w:rsid w:val="6A9855F1"/>
    <w:rsid w:val="6B657311"/>
    <w:rsid w:val="72FD2525"/>
    <w:rsid w:val="7394437D"/>
    <w:rsid w:val="75575F1C"/>
    <w:rsid w:val="7A8F7F06"/>
    <w:rsid w:val="7BFF1515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pPr>
      <w:jc w:val="left"/>
    </w:p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103</TotalTime>
  <ScaleCrop>false</ScaleCrop>
  <LinksUpToDate>false</LinksUpToDate>
  <CharactersWithSpaces>9630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半城烟沙</cp:lastModifiedBy>
  <cp:lastPrinted>2024-02-18T02:23:00Z</cp:lastPrinted>
  <dcterms:modified xsi:type="dcterms:W3CDTF">2024-03-20T05:02:06Z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4746AA2B63644A919A7677ADD6665D0C</vt:lpwstr>
  </property>
</Properties>
</file>