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hAnsi="宋体" w:cs="宋体"/>
          <w:b/>
          <w:bCs/>
          <w:kern w:val="0"/>
          <w:sz w:val="24"/>
          <w:szCs w:val="24"/>
        </w:rPr>
      </w:pPr>
      <w:r>
        <w:rPr>
          <w:rFonts w:hint="eastAsia" w:ascii="宋体" w:hAnsi="宋体" w:cs="宋体"/>
          <w:b/>
          <w:bCs/>
          <w:kern w:val="0"/>
          <w:sz w:val="24"/>
          <w:szCs w:val="24"/>
        </w:rPr>
        <w:t>附件</w:t>
      </w:r>
      <w:r>
        <w:rPr>
          <w:rFonts w:ascii="宋体" w:hAnsi="宋体" w:cs="宋体"/>
          <w:b/>
          <w:bCs/>
          <w:kern w:val="0"/>
          <w:sz w:val="24"/>
          <w:szCs w:val="24"/>
        </w:rPr>
        <w:t>1</w:t>
      </w: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hint="eastAsia" w:ascii="宋体" w:hAnsi="宋体" w:cs="宋体"/>
          <w:b/>
          <w:bCs/>
          <w:kern w:val="0"/>
          <w:sz w:val="44"/>
          <w:szCs w:val="44"/>
        </w:rPr>
      </w:pPr>
      <w:r>
        <w:rPr>
          <w:rFonts w:hint="eastAsia" w:ascii="宋体" w:hAnsi="宋体" w:cs="宋体"/>
          <w:b/>
          <w:bCs/>
          <w:kern w:val="0"/>
          <w:sz w:val="44"/>
          <w:szCs w:val="44"/>
        </w:rPr>
        <w:t>中国共产主义青年团积石山县委员会</w:t>
      </w:r>
    </w:p>
    <w:p>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 xml:space="preserve">2024年单位预算公开情况说明 </w:t>
      </w:r>
    </w:p>
    <w:p>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pPr>
        <w:spacing w:line="660" w:lineRule="exact"/>
        <w:jc w:val="center"/>
        <w:rPr>
          <w:rFonts w:ascii="宋体" w:hAnsi="宋体" w:cs="宋体"/>
          <w:b/>
          <w:bCs/>
          <w:kern w:val="0"/>
          <w:sz w:val="44"/>
          <w:szCs w:val="44"/>
        </w:rPr>
      </w:pPr>
    </w:p>
    <w:p>
      <w:pPr>
        <w:spacing w:line="30" w:lineRule="exact"/>
        <w:jc w:val="center"/>
        <w:rPr>
          <w:rFonts w:ascii="黑体" w:eastAsia="黑体"/>
          <w:color w:val="000000"/>
          <w:sz w:val="18"/>
          <w:szCs w:val="18"/>
        </w:rPr>
      </w:pP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第一部分 部门/单位基本概况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一、单位职责</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第二部分 2024年部门/单位预算情况说明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第三部分 2024年部门（单位）预算公开表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一、单位收支总体情况表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二、单位收入总体情况表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三、单位支出总体情况表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pPr>
        <w:spacing w:line="560" w:lineRule="exact"/>
        <w:ind w:firstLine="600" w:firstLineChars="200"/>
        <w:jc w:val="left"/>
        <w:rPr>
          <w:rFonts w:ascii="仿宋_GB2312" w:hAnsi="仿宋" w:eastAsia="仿宋_GB2312"/>
          <w:color w:val="000000"/>
          <w:spacing w:val="-2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20"/>
          <w:sz w:val="30"/>
          <w:szCs w:val="30"/>
        </w:rPr>
        <w:t>一般公共预算财政拨款“三公”经费、会议费、培训费支出情况表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一</w:t>
      </w:r>
      <w:r>
        <w:rPr>
          <w:rFonts w:hint="eastAsia" w:ascii="仿宋_GB2312" w:hAnsi="仿宋" w:eastAsia="仿宋_GB2312"/>
          <w:color w:val="000000"/>
          <w:sz w:val="30"/>
          <w:szCs w:val="30"/>
        </w:rPr>
        <w:t>、国有资本经营预算支出情况表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二</w:t>
      </w:r>
      <w:r>
        <w:rPr>
          <w:rFonts w:hint="eastAsia" w:ascii="仿宋_GB2312" w:hAnsi="仿宋" w:eastAsia="仿宋_GB2312"/>
          <w:color w:val="000000"/>
          <w:sz w:val="30"/>
          <w:szCs w:val="30"/>
        </w:rPr>
        <w:t>、单位整体支出绩效目标表和项目支出绩效目标表</w:t>
      </w:r>
    </w:p>
    <w:p>
      <w:pPr>
        <w:spacing w:line="660" w:lineRule="exact"/>
        <w:jc w:val="center"/>
        <w:rPr>
          <w:rFonts w:ascii="仿宋_GB2312" w:hAnsi="宋体" w:eastAsia="仿宋_GB2312" w:cs="宋体"/>
          <w:b/>
          <w:bCs/>
          <w:kern w:val="0"/>
          <w:sz w:val="44"/>
          <w:szCs w:val="44"/>
        </w:rPr>
      </w:pPr>
    </w:p>
    <w:p>
      <w:pPr>
        <w:spacing w:line="600" w:lineRule="exact"/>
        <w:ind w:firstLine="562" w:firstLineChars="200"/>
        <w:rPr>
          <w:rFonts w:ascii="仿宋_GB2312" w:hAnsi="仿宋"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600" w:lineRule="exact"/>
        <w:ind w:firstLine="643" w:firstLineChars="200"/>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甘肃省人民政府办公厅关于进一步推进预算公开工作的实施方案》要求，现将2024年部门预算公开如下：</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一、单位职责</w:t>
      </w:r>
    </w:p>
    <w:p>
      <w:pPr>
        <w:spacing w:line="60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1.负责领导全县共青团工作，以及全县青联、学联和少先队工作，对全县青年社团组织进行指导和管理。</w:t>
      </w:r>
    </w:p>
    <w:p>
      <w:pPr>
        <w:spacing w:line="60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2.是参与制定全县青少年事业发展规划和青少年工作方针、政策，对青少年活动阵地、青少年报刊、青少年服务机构的建设和青少年读物发行等进行规划和管理。组织、指导各级团组织发展团属企事业。</w:t>
      </w:r>
    </w:p>
    <w:p>
      <w:pPr>
        <w:spacing w:line="60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3.参与有关全县青少年事务的法律、法规的实施，协助县委、县政府处理协调与青少年利益相关的事务。</w:t>
      </w:r>
    </w:p>
    <w:p>
      <w:pPr>
        <w:spacing w:line="60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4.是调查青年思想动态和青年工作状况，研究青少年运动、工作理论，思想教育和事业发展等问题，提出相应政策，开展各种活动。</w:t>
      </w:r>
    </w:p>
    <w:p>
      <w:pPr>
        <w:spacing w:line="60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5.完成县委、县政府和团州委部署的以青少年为主体的各项任务。</w:t>
      </w:r>
    </w:p>
    <w:p>
      <w:pPr>
        <w:spacing w:line="60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6.协助县政府教育部门做好中、小学学生的教育管理工作，维护学校稳定和社会安定团结。领导、组织、实施全县的“希望工程”。</w:t>
      </w:r>
    </w:p>
    <w:p>
      <w:pPr>
        <w:spacing w:line="60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7.会同有关部门对县内外青少年友好交流工作实行归口管理和提供服务，参与制定有关全县青年统战工作政策。做好青年统战对象的团结教育工作，维护和促进祖国统一和民族团结。</w:t>
      </w:r>
    </w:p>
    <w:p>
      <w:pPr>
        <w:spacing w:line="60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8.完成县委、县政府、团州委交办的其他任务。</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二、机构设置情况</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（一）机关内设机构</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（二）参照公务员法管理单位</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按编制部门批复“三定”方案编写</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（三）直属事业单位</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按编制部门批复“三定”方案编写</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三、单位收支总体情况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按照预算管理有关规定，2024年单位收支包括机关预算和直属单位预算在内的汇总情况。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2024年部门收支总预算</w:t>
      </w:r>
      <w:r>
        <w:rPr>
          <w:rFonts w:hint="eastAsia" w:ascii="仿宋_GB2312" w:hAnsi="仿宋" w:eastAsia="仿宋_GB2312" w:cs="宋体"/>
          <w:kern w:val="0"/>
          <w:sz w:val="32"/>
          <w:szCs w:val="32"/>
          <w:lang w:eastAsia="zh-CN"/>
        </w:rPr>
        <w:t>110.08</w:t>
      </w:r>
      <w:r>
        <w:rPr>
          <w:rFonts w:hint="eastAsia" w:ascii="仿宋_GB2312" w:hAnsi="仿宋" w:eastAsia="仿宋_GB2312" w:cs="宋体"/>
          <w:kern w:val="0"/>
          <w:sz w:val="32"/>
          <w:szCs w:val="32"/>
        </w:rPr>
        <w:t>万元。按照综合预算的原则，单位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pPr>
        <w:spacing w:line="600" w:lineRule="exact"/>
        <w:ind w:firstLine="643" w:firstLineChars="200"/>
        <w:rPr>
          <w:rFonts w:ascii="楷体_GB2312" w:hAnsi="楷体" w:eastAsia="楷体_GB2312"/>
          <w:sz w:val="32"/>
          <w:szCs w:val="32"/>
        </w:rPr>
      </w:pPr>
      <w:r>
        <w:rPr>
          <w:rFonts w:hint="eastAsia" w:ascii="楷体_GB2312" w:hAnsi="楷体" w:eastAsia="楷体_GB2312" w:cs="宋体"/>
          <w:b/>
          <w:bCs/>
          <w:kern w:val="0"/>
          <w:sz w:val="32"/>
          <w:szCs w:val="32"/>
        </w:rPr>
        <w:t>（一）收入预算</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2024年收入预算</w:t>
      </w:r>
      <w:r>
        <w:rPr>
          <w:rFonts w:hint="eastAsia" w:ascii="仿宋_GB2312" w:hAnsi="仿宋" w:eastAsia="仿宋_GB2312" w:cs="宋体"/>
          <w:kern w:val="0"/>
          <w:sz w:val="32"/>
          <w:szCs w:val="32"/>
        </w:rPr>
        <w:t>1</w:t>
      </w:r>
      <w:r>
        <w:rPr>
          <w:rFonts w:hint="eastAsia" w:ascii="仿宋_GB2312" w:hAnsi="仿宋" w:eastAsia="仿宋_GB2312" w:cs="宋体"/>
          <w:kern w:val="0"/>
          <w:sz w:val="32"/>
          <w:szCs w:val="32"/>
          <w:lang w:val="en-US" w:eastAsia="zh-CN"/>
        </w:rPr>
        <w:t>10</w:t>
      </w:r>
      <w:r>
        <w:rPr>
          <w:rFonts w:hint="eastAsia" w:ascii="仿宋_GB2312" w:hAnsi="仿宋" w:eastAsia="仿宋_GB2312" w:cs="宋体"/>
          <w:kern w:val="0"/>
          <w:sz w:val="32"/>
          <w:szCs w:val="32"/>
        </w:rPr>
        <w:t>.08</w:t>
      </w:r>
      <w:r>
        <w:rPr>
          <w:rFonts w:hint="eastAsia" w:ascii="仿宋_GB2312" w:hAnsi="仿宋" w:eastAsia="仿宋_GB2312"/>
          <w:sz w:val="32"/>
          <w:szCs w:val="32"/>
        </w:rPr>
        <w:t>万元（详见单位预算公开表1,2）。包括：</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一般公共预算收入</w:t>
      </w:r>
      <w:r>
        <w:rPr>
          <w:rFonts w:hint="eastAsia" w:ascii="仿宋_GB2312" w:hAnsi="仿宋" w:eastAsia="仿宋_GB2312" w:cs="宋体"/>
          <w:kern w:val="0"/>
          <w:sz w:val="32"/>
          <w:szCs w:val="32"/>
        </w:rPr>
        <w:t>1</w:t>
      </w:r>
      <w:r>
        <w:rPr>
          <w:rFonts w:hint="eastAsia" w:ascii="仿宋_GB2312" w:hAnsi="仿宋" w:eastAsia="仿宋_GB2312" w:cs="宋体"/>
          <w:kern w:val="0"/>
          <w:sz w:val="32"/>
          <w:szCs w:val="32"/>
          <w:lang w:val="en-US" w:eastAsia="zh-CN"/>
        </w:rPr>
        <w:t>10</w:t>
      </w:r>
      <w:r>
        <w:rPr>
          <w:rFonts w:hint="eastAsia" w:ascii="仿宋_GB2312" w:hAnsi="仿宋" w:eastAsia="仿宋_GB2312" w:cs="宋体"/>
          <w:kern w:val="0"/>
          <w:sz w:val="32"/>
          <w:szCs w:val="32"/>
        </w:rPr>
        <w:t>.08</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政府性基金预算收入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上年结转收入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其他收入 </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（二）支出预算</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2024年支出预算</w:t>
      </w:r>
      <w:r>
        <w:rPr>
          <w:rFonts w:hint="eastAsia" w:ascii="仿宋_GB2312" w:hAnsi="仿宋" w:eastAsia="仿宋_GB2312" w:cs="宋体"/>
          <w:kern w:val="0"/>
          <w:sz w:val="32"/>
          <w:szCs w:val="32"/>
          <w:lang w:eastAsia="zh-CN"/>
        </w:rPr>
        <w:t>110.08</w:t>
      </w:r>
      <w:r>
        <w:rPr>
          <w:rFonts w:hint="eastAsia" w:ascii="仿宋_GB2312" w:hAnsi="仿宋" w:eastAsia="仿宋_GB2312"/>
          <w:sz w:val="32"/>
          <w:szCs w:val="32"/>
        </w:rPr>
        <w:t>万元（详见部门/单位预算公开表3）。</w:t>
      </w:r>
      <w:r>
        <w:rPr>
          <w:rStyle w:val="20"/>
          <w:rFonts w:hint="default" w:hAnsi="仿宋"/>
        </w:rPr>
        <w:t>其中：基本支出</w:t>
      </w:r>
      <w:r>
        <w:rPr>
          <w:rFonts w:hint="eastAsia" w:ascii="仿宋_GB2312" w:hAnsi="仿宋" w:eastAsia="仿宋_GB2312" w:cs="宋体"/>
          <w:kern w:val="0"/>
          <w:sz w:val="32"/>
          <w:szCs w:val="32"/>
          <w:lang w:eastAsia="zh-CN"/>
        </w:rPr>
        <w:t>110.08</w:t>
      </w:r>
      <w:r>
        <w:rPr>
          <w:rStyle w:val="20"/>
          <w:rFonts w:hint="default" w:hAnsi="仿宋"/>
        </w:rPr>
        <w:t>万元， 占</w:t>
      </w:r>
      <w:r>
        <w:rPr>
          <w:rStyle w:val="20"/>
          <w:rFonts w:hint="eastAsia" w:hAnsi="仿宋" w:eastAsia="仿宋_GB2312"/>
          <w:lang w:val="en-US" w:eastAsia="zh-CN"/>
        </w:rPr>
        <w:t>99.1</w:t>
      </w:r>
      <w:r>
        <w:rPr>
          <w:rStyle w:val="21"/>
          <w:rFonts w:hint="eastAsia" w:ascii="仿宋_GB2312" w:hAnsi="仿宋" w:eastAsia="仿宋_GB2312"/>
        </w:rPr>
        <w:t xml:space="preserve"> %</w:t>
      </w:r>
      <w:r>
        <w:rPr>
          <w:rStyle w:val="20"/>
          <w:rFonts w:hint="default" w:hAnsi="仿宋"/>
        </w:rPr>
        <w:t xml:space="preserve">； 项目支出 </w:t>
      </w:r>
      <w:r>
        <w:rPr>
          <w:rStyle w:val="20"/>
          <w:rFonts w:hint="eastAsia" w:hAnsi="仿宋" w:eastAsia="仿宋_GB2312"/>
          <w:lang w:val="en-US" w:eastAsia="zh-CN"/>
        </w:rPr>
        <w:t>1</w:t>
      </w:r>
      <w:r>
        <w:rPr>
          <w:rStyle w:val="20"/>
          <w:rFonts w:hint="default" w:hAnsi="仿宋"/>
        </w:rPr>
        <w:t>万元，占</w:t>
      </w:r>
      <w:r>
        <w:rPr>
          <w:rStyle w:val="21"/>
          <w:rFonts w:hint="eastAsia" w:ascii="仿宋_GB2312" w:hAnsi="仿宋" w:eastAsia="仿宋_GB2312"/>
        </w:rPr>
        <w:t xml:space="preserve">  </w:t>
      </w:r>
      <w:r>
        <w:rPr>
          <w:rStyle w:val="21"/>
          <w:rFonts w:hint="eastAsia" w:ascii="仿宋_GB2312" w:hAnsi="仿宋" w:eastAsia="仿宋_GB2312"/>
          <w:lang w:val="en-US" w:eastAsia="zh-CN"/>
        </w:rPr>
        <w:t>0.9</w:t>
      </w:r>
      <w:r>
        <w:rPr>
          <w:rStyle w:val="21"/>
          <w:rFonts w:hint="eastAsia" w:ascii="仿宋_GB2312" w:hAnsi="仿宋" w:eastAsia="仿宋_GB2312"/>
        </w:rPr>
        <w:t xml:space="preserve"> %</w:t>
      </w:r>
      <w:r>
        <w:rPr>
          <w:rStyle w:val="20"/>
          <w:rFonts w:hint="default" w:hAnsi="仿宋"/>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四、一般公共预算情况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Style w:val="21"/>
          <w:rFonts w:hint="eastAsia" w:ascii="仿宋_GB2312" w:hAnsi="仿宋" w:eastAsia="仿宋_GB2312"/>
        </w:rPr>
        <w:t xml:space="preserve">2024 </w:t>
      </w:r>
      <w:r>
        <w:rPr>
          <w:rStyle w:val="20"/>
          <w:rFonts w:hint="default" w:hAnsi="仿宋"/>
        </w:rPr>
        <w:t>年一般公共预算当年支出</w:t>
      </w:r>
      <w:r>
        <w:rPr>
          <w:rFonts w:hint="eastAsia" w:ascii="仿宋_GB2312" w:hAnsi="仿宋" w:eastAsia="仿宋_GB2312" w:cs="宋体"/>
          <w:kern w:val="0"/>
          <w:sz w:val="32"/>
          <w:szCs w:val="32"/>
          <w:lang w:eastAsia="zh-CN"/>
        </w:rPr>
        <w:t>110.08</w:t>
      </w:r>
      <w:r>
        <w:rPr>
          <w:rStyle w:val="20"/>
          <w:rFonts w:hint="default" w:hAnsi="仿宋"/>
        </w:rPr>
        <w:t>万元，包括：一般公共服务支出</w:t>
      </w:r>
      <w:r>
        <w:rPr>
          <w:rFonts w:hint="eastAsia" w:ascii="仿宋_GB2312" w:hAnsi="仿宋" w:eastAsia="仿宋_GB2312" w:cs="宋体"/>
          <w:kern w:val="0"/>
          <w:sz w:val="32"/>
          <w:szCs w:val="32"/>
          <w:lang w:eastAsia="zh-CN"/>
        </w:rPr>
        <w:t>110.08</w:t>
      </w:r>
      <w:r>
        <w:rPr>
          <w:rStyle w:val="20"/>
          <w:rFonts w:hint="default" w:hAnsi="仿宋"/>
        </w:rPr>
        <w:t>万元、公共安全支出</w:t>
      </w:r>
      <w:r>
        <w:rPr>
          <w:rStyle w:val="20"/>
          <w:rFonts w:hint="eastAsia" w:hAnsi="仿宋" w:eastAsia="仿宋_GB2312"/>
          <w:lang w:val="en-US" w:eastAsia="zh-CN"/>
        </w:rPr>
        <w:t>0</w:t>
      </w:r>
      <w:r>
        <w:rPr>
          <w:rStyle w:val="21"/>
          <w:rFonts w:hint="eastAsia" w:ascii="仿宋_GB2312" w:hAnsi="仿宋" w:eastAsia="仿宋_GB2312"/>
        </w:rPr>
        <w:t xml:space="preserve"> </w:t>
      </w:r>
      <w:r>
        <w:rPr>
          <w:rStyle w:val="20"/>
          <w:rFonts w:hint="default" w:hAnsi="仿宋"/>
        </w:rPr>
        <w:t>万元、教育支出</w:t>
      </w:r>
      <w:r>
        <w:rPr>
          <w:rStyle w:val="21"/>
          <w:rFonts w:hint="eastAsia" w:ascii="仿宋_GB2312" w:hAnsi="仿宋" w:eastAsia="仿宋_GB2312"/>
        </w:rPr>
        <w:t xml:space="preserve">  </w:t>
      </w:r>
      <w:r>
        <w:rPr>
          <w:rStyle w:val="21"/>
          <w:rFonts w:hint="eastAsia" w:ascii="仿宋_GB2312" w:hAnsi="仿宋" w:eastAsia="仿宋_GB2312"/>
          <w:lang w:val="en-US" w:eastAsia="zh-CN"/>
        </w:rPr>
        <w:t>0</w:t>
      </w:r>
      <w:r>
        <w:rPr>
          <w:rStyle w:val="21"/>
          <w:rFonts w:hint="eastAsia" w:ascii="仿宋_GB2312" w:hAnsi="仿宋" w:eastAsia="仿宋_GB2312"/>
        </w:rPr>
        <w:t xml:space="preserve"> </w:t>
      </w:r>
      <w:r>
        <w:rPr>
          <w:rStyle w:val="20"/>
          <w:rFonts w:hint="default" w:hAnsi="仿宋"/>
        </w:rPr>
        <w:t>万元、科学技术支出</w:t>
      </w:r>
      <w:r>
        <w:rPr>
          <w:rStyle w:val="21"/>
          <w:rFonts w:hint="eastAsia" w:ascii="仿宋_GB2312" w:hAnsi="仿宋" w:eastAsia="仿宋_GB2312"/>
        </w:rPr>
        <w:t xml:space="preserve"> </w:t>
      </w:r>
      <w:r>
        <w:rPr>
          <w:rStyle w:val="21"/>
          <w:rFonts w:hint="eastAsia" w:ascii="仿宋_GB2312" w:hAnsi="仿宋" w:eastAsia="仿宋_GB2312"/>
          <w:lang w:val="en-US" w:eastAsia="zh-CN"/>
        </w:rPr>
        <w:t>0</w:t>
      </w:r>
      <w:r>
        <w:rPr>
          <w:rStyle w:val="21"/>
          <w:rFonts w:hint="eastAsia" w:ascii="仿宋_GB2312" w:hAnsi="仿宋" w:eastAsia="仿宋_GB2312"/>
        </w:rPr>
        <w:t xml:space="preserve">  </w:t>
      </w:r>
      <w:r>
        <w:rPr>
          <w:rStyle w:val="20"/>
          <w:rFonts w:hint="default" w:hAnsi="仿宋"/>
        </w:rPr>
        <w:t>万元、社会保障和就业支出</w:t>
      </w:r>
      <w:r>
        <w:rPr>
          <w:rStyle w:val="21"/>
          <w:rFonts w:hint="eastAsia" w:ascii="仿宋_GB2312" w:hAnsi="仿宋" w:eastAsia="仿宋_GB2312"/>
        </w:rPr>
        <w:t xml:space="preserve"> </w:t>
      </w:r>
      <w:r>
        <w:rPr>
          <w:rStyle w:val="21"/>
          <w:rFonts w:hint="eastAsia" w:ascii="仿宋_GB2312" w:hAnsi="仿宋" w:eastAsia="仿宋_GB2312"/>
          <w:lang w:val="en-US" w:eastAsia="zh-CN"/>
        </w:rPr>
        <w:t>0</w:t>
      </w:r>
      <w:r>
        <w:rPr>
          <w:rStyle w:val="20"/>
          <w:rFonts w:hint="default" w:hAnsi="仿宋"/>
        </w:rPr>
        <w:t>万元、其他支出</w:t>
      </w:r>
      <w:r>
        <w:rPr>
          <w:rStyle w:val="21"/>
          <w:rFonts w:hint="eastAsia" w:ascii="仿宋_GB2312" w:hAnsi="仿宋" w:eastAsia="仿宋_GB2312"/>
        </w:rPr>
        <w:t xml:space="preserve">  </w:t>
      </w:r>
      <w:r>
        <w:rPr>
          <w:rStyle w:val="21"/>
          <w:rFonts w:hint="eastAsia" w:ascii="仿宋_GB2312" w:hAnsi="仿宋" w:eastAsia="仿宋_GB2312"/>
          <w:lang w:val="en-US" w:eastAsia="zh-CN"/>
        </w:rPr>
        <w:t>0</w:t>
      </w:r>
      <w:r>
        <w:rPr>
          <w:rStyle w:val="21"/>
          <w:rFonts w:hint="eastAsia" w:ascii="仿宋_GB2312" w:hAnsi="仿宋" w:eastAsia="仿宋_GB2312"/>
        </w:rPr>
        <w:t xml:space="preserve"> </w:t>
      </w:r>
      <w:r>
        <w:rPr>
          <w:rStyle w:val="20"/>
          <w:rFonts w:hint="default" w:hAnsi="仿宋"/>
        </w:rPr>
        <w:t>万元。</w:t>
      </w:r>
      <w:r>
        <w:rPr>
          <w:rFonts w:hint="eastAsia" w:ascii="仿宋_GB2312" w:hAnsi="仿宋" w:eastAsia="仿宋_GB2312"/>
          <w:sz w:val="32"/>
          <w:szCs w:val="32"/>
        </w:rPr>
        <w:t>具体安排情况如下</w:t>
      </w:r>
      <w:r>
        <w:rPr>
          <w:rFonts w:hint="eastAsia" w:ascii="仿宋_GB2312" w:hAnsi="微软雅黑" w:eastAsia="仿宋_GB2312"/>
          <w:sz w:val="32"/>
          <w:szCs w:val="32"/>
        </w:rPr>
        <w:t>（详见单位预算公开表4,5,6,7）</w:t>
      </w:r>
      <w:r>
        <w:rPr>
          <w:rFonts w:hint="eastAsia" w:ascii="仿宋_GB2312" w:hAnsi="仿宋" w:eastAsia="仿宋_GB2312"/>
          <w:sz w:val="32"/>
          <w:szCs w:val="32"/>
        </w:rPr>
        <w:t>：</w:t>
      </w:r>
    </w:p>
    <w:p>
      <w:pPr>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（一）基本支出</w:t>
      </w:r>
    </w:p>
    <w:p>
      <w:pPr>
        <w:widowControl/>
        <w:adjustRightInd w:val="0"/>
        <w:snapToGrid w:val="0"/>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rPr>
        <w:t>2024年基本支出</w:t>
      </w:r>
      <w:r>
        <w:rPr>
          <w:rFonts w:hint="eastAsia" w:ascii="仿宋_GB2312" w:hAnsi="仿宋" w:eastAsia="仿宋_GB2312" w:cs="宋体"/>
          <w:kern w:val="0"/>
          <w:sz w:val="32"/>
          <w:szCs w:val="32"/>
          <w:lang w:eastAsia="zh-CN"/>
        </w:rPr>
        <w:t>1</w:t>
      </w:r>
      <w:r>
        <w:rPr>
          <w:rFonts w:hint="eastAsia" w:ascii="仿宋_GB2312" w:hAnsi="仿宋" w:eastAsia="仿宋_GB2312" w:cs="宋体"/>
          <w:kern w:val="0"/>
          <w:sz w:val="32"/>
          <w:szCs w:val="32"/>
          <w:lang w:val="en-US" w:eastAsia="zh-CN"/>
        </w:rPr>
        <w:t>09</w:t>
      </w:r>
      <w:r>
        <w:rPr>
          <w:rFonts w:hint="eastAsia" w:ascii="仿宋_GB2312" w:hAnsi="仿宋" w:eastAsia="仿宋_GB2312" w:cs="宋体"/>
          <w:kern w:val="0"/>
          <w:sz w:val="32"/>
          <w:szCs w:val="32"/>
          <w:lang w:eastAsia="zh-CN"/>
        </w:rPr>
        <w:t>.08</w:t>
      </w:r>
      <w:r>
        <w:rPr>
          <w:rFonts w:hint="eastAsia" w:ascii="仿宋_GB2312" w:hAnsi="仿宋" w:eastAsia="仿宋_GB2312"/>
          <w:sz w:val="32"/>
          <w:szCs w:val="32"/>
        </w:rPr>
        <w:t>万元，比2023年预算</w:t>
      </w:r>
      <w:r>
        <w:rPr>
          <w:rFonts w:hint="eastAsia" w:ascii="仿宋_GB2312" w:hAnsi="仿宋" w:eastAsia="仿宋_GB2312"/>
          <w:sz w:val="32"/>
          <w:szCs w:val="32"/>
          <w:lang w:val="en-US" w:eastAsia="zh-CN"/>
        </w:rPr>
        <w:t>减少9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减少8</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的主要原因是</w:t>
      </w:r>
      <w:r>
        <w:rPr>
          <w:rFonts w:hint="eastAsia" w:ascii="仿宋_GB2312" w:hAnsi="仿宋" w:eastAsia="仿宋_GB2312"/>
          <w:sz w:val="32"/>
          <w:szCs w:val="32"/>
          <w:lang w:val="en-US" w:eastAsia="zh-CN"/>
        </w:rPr>
        <w:t>单位内工作人员变动。</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其中：人员经费支出91</w:t>
      </w:r>
      <w:r>
        <w:rPr>
          <w:rFonts w:hint="eastAsia" w:ascii="仿宋_GB2312" w:hAnsi="仿宋" w:eastAsia="仿宋_GB2312"/>
          <w:sz w:val="32"/>
          <w:szCs w:val="32"/>
          <w:lang w:val="en-US" w:eastAsia="zh-CN"/>
        </w:rPr>
        <w:t>.</w:t>
      </w:r>
      <w:r>
        <w:rPr>
          <w:rFonts w:hint="eastAsia" w:ascii="仿宋_GB2312" w:hAnsi="仿宋" w:eastAsia="仿宋_GB2312"/>
          <w:sz w:val="32"/>
          <w:szCs w:val="32"/>
        </w:rPr>
        <w:t>0</w:t>
      </w:r>
      <w:r>
        <w:rPr>
          <w:rFonts w:hint="eastAsia" w:ascii="仿宋_GB2312" w:hAnsi="仿宋" w:eastAsia="仿宋_GB2312"/>
          <w:sz w:val="32"/>
          <w:szCs w:val="32"/>
          <w:lang w:val="en-US" w:eastAsia="zh-CN"/>
        </w:rPr>
        <w:t>3</w:t>
      </w:r>
      <w:r>
        <w:rPr>
          <w:rFonts w:hint="eastAsia" w:ascii="仿宋_GB2312" w:hAnsi="仿宋" w:eastAsia="仿宋_GB2312"/>
          <w:sz w:val="32"/>
          <w:szCs w:val="32"/>
        </w:rPr>
        <w:t>万元，主要包括：基本工资</w:t>
      </w:r>
      <w:r>
        <w:rPr>
          <w:rFonts w:hint="eastAsia" w:ascii="仿宋_GB2312" w:hAnsi="仿宋" w:eastAsia="仿宋_GB2312"/>
          <w:sz w:val="32"/>
          <w:szCs w:val="32"/>
          <w:lang w:val="en-US" w:eastAsia="zh-CN"/>
        </w:rPr>
        <w:t>22.7万元</w:t>
      </w:r>
      <w:r>
        <w:rPr>
          <w:rFonts w:hint="eastAsia" w:ascii="仿宋_GB2312" w:hAnsi="仿宋" w:eastAsia="仿宋_GB2312"/>
          <w:sz w:val="32"/>
          <w:szCs w:val="32"/>
        </w:rPr>
        <w:t>、津贴补贴</w:t>
      </w:r>
      <w:r>
        <w:rPr>
          <w:rFonts w:hint="eastAsia" w:ascii="仿宋_GB2312" w:hAnsi="仿宋" w:eastAsia="仿宋_GB2312"/>
          <w:sz w:val="32"/>
          <w:szCs w:val="32"/>
          <w:lang w:val="en-US" w:eastAsia="zh-CN"/>
        </w:rPr>
        <w:t>34万元</w:t>
      </w:r>
      <w:r>
        <w:rPr>
          <w:rFonts w:hint="eastAsia" w:ascii="仿宋_GB2312" w:hAnsi="仿宋" w:eastAsia="仿宋_GB2312"/>
          <w:sz w:val="32"/>
          <w:szCs w:val="32"/>
        </w:rPr>
        <w:t>、奖金</w:t>
      </w:r>
      <w:r>
        <w:rPr>
          <w:rFonts w:hint="eastAsia" w:ascii="仿宋_GB2312" w:hAnsi="仿宋" w:eastAsia="仿宋_GB2312"/>
          <w:sz w:val="32"/>
          <w:szCs w:val="32"/>
          <w:lang w:val="en-US" w:eastAsia="zh-CN"/>
        </w:rPr>
        <w:t>14.7万元</w:t>
      </w:r>
      <w:r>
        <w:rPr>
          <w:rFonts w:hint="eastAsia" w:ascii="仿宋_GB2312" w:hAnsi="仿宋" w:eastAsia="仿宋_GB2312"/>
          <w:sz w:val="32"/>
          <w:szCs w:val="32"/>
        </w:rPr>
        <w:t>、机关事业单位基本养老保险缴费</w:t>
      </w:r>
      <w:r>
        <w:rPr>
          <w:rFonts w:hint="eastAsia" w:ascii="仿宋_GB2312" w:hAnsi="仿宋" w:eastAsia="仿宋_GB2312"/>
          <w:sz w:val="32"/>
          <w:szCs w:val="32"/>
          <w:lang w:val="en-US" w:eastAsia="zh-CN"/>
        </w:rPr>
        <w:t>5.1万元</w:t>
      </w:r>
      <w:r>
        <w:rPr>
          <w:rFonts w:hint="eastAsia" w:ascii="仿宋_GB2312" w:hAnsi="仿宋" w:eastAsia="仿宋_GB2312"/>
          <w:sz w:val="32"/>
          <w:szCs w:val="32"/>
        </w:rPr>
        <w:t>、职工基本医疗保险缴费</w:t>
      </w:r>
      <w:r>
        <w:rPr>
          <w:rFonts w:hint="eastAsia" w:ascii="仿宋_GB2312" w:hAnsi="仿宋" w:eastAsia="仿宋_GB2312"/>
          <w:sz w:val="32"/>
          <w:szCs w:val="32"/>
          <w:lang w:val="en-US" w:eastAsia="zh-CN"/>
        </w:rPr>
        <w:t>2.3万元</w:t>
      </w:r>
      <w:r>
        <w:rPr>
          <w:rFonts w:hint="eastAsia" w:ascii="仿宋_GB2312" w:hAnsi="仿宋" w:eastAsia="仿宋_GB2312"/>
          <w:sz w:val="32"/>
          <w:szCs w:val="32"/>
        </w:rPr>
        <w:t>、公务员医疗补助缴费</w:t>
      </w:r>
      <w:r>
        <w:rPr>
          <w:rFonts w:hint="eastAsia" w:ascii="仿宋_GB2312" w:hAnsi="仿宋" w:eastAsia="仿宋_GB2312"/>
          <w:sz w:val="32"/>
          <w:szCs w:val="32"/>
          <w:lang w:val="en-US" w:eastAsia="zh-CN"/>
        </w:rPr>
        <w:t>0.5万元</w:t>
      </w:r>
      <w:r>
        <w:rPr>
          <w:rFonts w:hint="eastAsia" w:ascii="仿宋_GB2312" w:hAnsi="仿宋" w:eastAsia="仿宋_GB2312"/>
          <w:sz w:val="32"/>
          <w:szCs w:val="32"/>
        </w:rPr>
        <w:t>、其他社会保障缴费</w:t>
      </w:r>
      <w:r>
        <w:rPr>
          <w:rFonts w:hint="eastAsia" w:ascii="仿宋_GB2312" w:hAnsi="仿宋" w:eastAsia="仿宋_GB2312"/>
          <w:sz w:val="32"/>
          <w:szCs w:val="32"/>
          <w:lang w:val="en-US" w:eastAsia="zh-CN"/>
        </w:rPr>
        <w:t>5.2万元</w:t>
      </w:r>
      <w:r>
        <w:rPr>
          <w:rFonts w:hint="eastAsia" w:ascii="仿宋_GB2312" w:hAnsi="仿宋" w:eastAsia="仿宋_GB2312"/>
          <w:sz w:val="32"/>
          <w:szCs w:val="32"/>
        </w:rPr>
        <w:t>、住房公积金</w:t>
      </w:r>
      <w:r>
        <w:rPr>
          <w:rFonts w:hint="eastAsia" w:ascii="仿宋_GB2312" w:hAnsi="仿宋" w:eastAsia="仿宋_GB2312"/>
          <w:sz w:val="32"/>
          <w:szCs w:val="32"/>
          <w:lang w:val="en-US" w:eastAsia="zh-CN"/>
        </w:rPr>
        <w:t>6.3万元</w:t>
      </w:r>
      <w:r>
        <w:rPr>
          <w:rFonts w:hint="eastAsia" w:ascii="仿宋_GB2312" w:hAnsi="仿宋" w:eastAsia="仿宋_GB2312"/>
          <w:sz w:val="32"/>
          <w:szCs w:val="32"/>
        </w:rPr>
        <w:t>、等。</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公用经费支出1</w:t>
      </w:r>
      <w:r>
        <w:rPr>
          <w:rFonts w:hint="eastAsia" w:ascii="仿宋_GB2312" w:hAnsi="仿宋" w:eastAsia="仿宋_GB2312"/>
          <w:sz w:val="32"/>
          <w:szCs w:val="32"/>
          <w:lang w:val="en-US" w:eastAsia="zh-CN"/>
        </w:rPr>
        <w:t>8.</w:t>
      </w:r>
      <w:r>
        <w:rPr>
          <w:rFonts w:hint="eastAsia" w:ascii="仿宋_GB2312" w:hAnsi="仿宋" w:eastAsia="仿宋_GB2312"/>
          <w:sz w:val="32"/>
          <w:szCs w:val="32"/>
        </w:rPr>
        <w:t>06万元，主要包括：办公费</w:t>
      </w:r>
      <w:r>
        <w:rPr>
          <w:rFonts w:hint="eastAsia" w:ascii="仿宋_GB2312" w:hAnsi="仿宋" w:eastAsia="仿宋_GB2312"/>
          <w:sz w:val="32"/>
          <w:szCs w:val="32"/>
          <w:lang w:val="en-US" w:eastAsia="zh-CN"/>
        </w:rPr>
        <w:t>4万元</w:t>
      </w:r>
      <w:r>
        <w:rPr>
          <w:rFonts w:hint="eastAsia" w:ascii="仿宋_GB2312" w:hAnsi="仿宋" w:eastAsia="仿宋_GB2312"/>
          <w:sz w:val="32"/>
          <w:szCs w:val="32"/>
        </w:rPr>
        <w:t>、印刷费</w:t>
      </w:r>
      <w:r>
        <w:rPr>
          <w:rFonts w:hint="eastAsia" w:ascii="仿宋_GB2312" w:hAnsi="仿宋" w:eastAsia="仿宋_GB2312"/>
          <w:sz w:val="32"/>
          <w:szCs w:val="32"/>
          <w:lang w:val="en-US" w:eastAsia="zh-CN"/>
        </w:rPr>
        <w:t>2.5万元</w:t>
      </w:r>
      <w:r>
        <w:rPr>
          <w:rFonts w:hint="eastAsia" w:ascii="仿宋_GB2312" w:hAnsi="仿宋" w:eastAsia="仿宋_GB2312"/>
          <w:sz w:val="32"/>
          <w:szCs w:val="32"/>
        </w:rPr>
        <w:t>、邮电费</w:t>
      </w:r>
      <w:r>
        <w:rPr>
          <w:rFonts w:hint="eastAsia" w:ascii="仿宋_GB2312" w:hAnsi="仿宋" w:eastAsia="仿宋_GB2312"/>
          <w:sz w:val="32"/>
          <w:szCs w:val="32"/>
          <w:lang w:val="en-US" w:eastAsia="zh-CN"/>
        </w:rPr>
        <w:t>1万元</w:t>
      </w:r>
      <w:r>
        <w:rPr>
          <w:rFonts w:hint="eastAsia" w:ascii="仿宋_GB2312" w:hAnsi="仿宋" w:eastAsia="仿宋_GB2312"/>
          <w:sz w:val="32"/>
          <w:szCs w:val="32"/>
        </w:rPr>
        <w:t>、差旅费</w:t>
      </w:r>
      <w:r>
        <w:rPr>
          <w:rFonts w:hint="eastAsia" w:ascii="仿宋_GB2312" w:hAnsi="仿宋" w:eastAsia="仿宋_GB2312"/>
          <w:sz w:val="32"/>
          <w:szCs w:val="32"/>
          <w:lang w:val="en-US" w:eastAsia="zh-CN"/>
        </w:rPr>
        <w:t>2.5万元</w:t>
      </w:r>
      <w:r>
        <w:rPr>
          <w:rFonts w:hint="eastAsia" w:ascii="仿宋_GB2312" w:hAnsi="仿宋" w:eastAsia="仿宋_GB2312"/>
          <w:sz w:val="32"/>
          <w:szCs w:val="32"/>
        </w:rPr>
        <w:t>、工会经费</w:t>
      </w:r>
      <w:r>
        <w:rPr>
          <w:rFonts w:hint="eastAsia" w:ascii="仿宋_GB2312" w:hAnsi="仿宋" w:eastAsia="仿宋_GB2312"/>
          <w:sz w:val="32"/>
          <w:szCs w:val="32"/>
          <w:lang w:val="en-US" w:eastAsia="zh-CN"/>
        </w:rPr>
        <w:t>1.05万元</w:t>
      </w:r>
      <w:r>
        <w:rPr>
          <w:rFonts w:hint="eastAsia" w:ascii="仿宋_GB2312" w:hAnsi="仿宋" w:eastAsia="仿宋_GB2312"/>
          <w:sz w:val="32"/>
          <w:szCs w:val="32"/>
        </w:rPr>
        <w:t>、其他交通费用</w:t>
      </w:r>
      <w:r>
        <w:rPr>
          <w:rFonts w:hint="eastAsia" w:ascii="仿宋_GB2312" w:hAnsi="仿宋" w:eastAsia="仿宋_GB2312"/>
          <w:sz w:val="32"/>
          <w:szCs w:val="32"/>
          <w:lang w:val="en-US" w:eastAsia="zh-CN"/>
        </w:rPr>
        <w:t>2.1万元</w:t>
      </w:r>
      <w:r>
        <w:rPr>
          <w:rFonts w:hint="eastAsia" w:ascii="仿宋_GB2312" w:hAnsi="仿宋" w:eastAsia="仿宋_GB2312"/>
          <w:sz w:val="32"/>
          <w:szCs w:val="32"/>
        </w:rPr>
        <w:t>、其他商品和服务支出</w:t>
      </w:r>
      <w:r>
        <w:rPr>
          <w:rFonts w:hint="eastAsia" w:ascii="仿宋_GB2312" w:hAnsi="仿宋" w:eastAsia="仿宋_GB2312"/>
          <w:sz w:val="32"/>
          <w:szCs w:val="32"/>
          <w:lang w:val="en-US" w:eastAsia="zh-CN"/>
        </w:rPr>
        <w:t>4.91万元</w:t>
      </w:r>
      <w:r>
        <w:rPr>
          <w:rFonts w:hint="eastAsia" w:ascii="仿宋_GB2312" w:hAnsi="仿宋" w:eastAsia="仿宋_GB2312"/>
          <w:sz w:val="32"/>
          <w:szCs w:val="32"/>
        </w:rPr>
        <w:t>等。</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2024年一般公共预算财政拨款项目支出预算</w:t>
      </w:r>
      <w:r>
        <w:rPr>
          <w:rFonts w:hint="eastAsia" w:ascii="仿宋_GB2312" w:hAnsi="仿宋" w:eastAsia="仿宋_GB2312"/>
          <w:sz w:val="32"/>
          <w:szCs w:val="32"/>
          <w:lang w:val="en-US" w:eastAsia="zh-CN"/>
        </w:rPr>
        <w:t>1</w:t>
      </w:r>
      <w:r>
        <w:rPr>
          <w:rFonts w:hint="eastAsia" w:ascii="仿宋_GB2312" w:hAnsi="仿宋" w:eastAsia="仿宋_GB2312"/>
          <w:sz w:val="32"/>
          <w:szCs w:val="32"/>
        </w:rPr>
        <w:t>万元，比2023年预算增加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经济社会发展项目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保障运转经费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其他项目  </w:t>
      </w:r>
      <w:r>
        <w:rPr>
          <w:rFonts w:hint="eastAsia" w:ascii="仿宋_GB2312" w:hAnsi="仿宋" w:eastAsia="仿宋_GB2312"/>
          <w:sz w:val="32"/>
          <w:szCs w:val="32"/>
          <w:lang w:val="en-US" w:eastAsia="zh-CN"/>
        </w:rPr>
        <w:t>1</w:t>
      </w:r>
      <w:r>
        <w:rPr>
          <w:rFonts w:hint="eastAsia" w:ascii="仿宋_GB2312" w:hAnsi="仿宋" w:eastAsia="仿宋_GB2312"/>
          <w:sz w:val="32"/>
          <w:szCs w:val="32"/>
        </w:rPr>
        <w:t xml:space="preserve">  个，主要是项目</w:t>
      </w:r>
      <w:r>
        <w:rPr>
          <w:rFonts w:hint="eastAsia" w:ascii="仿宋_GB2312" w:hAnsi="仿宋" w:eastAsia="仿宋_GB2312"/>
          <w:sz w:val="32"/>
          <w:szCs w:val="32"/>
          <w:lang w:val="en-US" w:eastAsia="zh-CN"/>
        </w:rPr>
        <w:t>青年之家</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lang w:eastAsia="zh-CN"/>
        </w:rPr>
      </w:pPr>
      <w:r>
        <w:rPr>
          <w:rFonts w:hint="eastAsia" w:ascii="仿宋_GB2312" w:hAnsi="TimesNewRomanPS-BoldMT" w:eastAsia="仿宋_GB2312"/>
          <w:bCs/>
          <w:color w:val="000000"/>
          <w:sz w:val="32"/>
          <w:szCs w:val="32"/>
          <w:lang w:val="en-US" w:eastAsia="zh-CN"/>
        </w:rPr>
        <w:t>无</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五、部门（单位）一般公共预算财政拨款“三公”经费、培训费、会议费等情况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lang w:eastAsia="zh-CN"/>
        </w:rPr>
      </w:pPr>
      <w:r>
        <w:rPr>
          <w:rFonts w:hint="eastAsia" w:ascii="仿宋_GB2312" w:hAnsi="TimesNewRomanPS-BoldMT" w:eastAsia="仿宋_GB2312"/>
          <w:bCs/>
          <w:color w:val="000000"/>
          <w:sz w:val="32"/>
          <w:szCs w:val="32"/>
          <w:lang w:val="en-US" w:eastAsia="zh-CN"/>
        </w:rPr>
        <w:t>无</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lang w:eastAsia="zh-CN"/>
        </w:rPr>
      </w:pPr>
      <w:r>
        <w:rPr>
          <w:rFonts w:hint="eastAsia" w:ascii="仿宋_GB2312" w:hAnsi="TimesNewRomanPS-BoldMT" w:eastAsia="仿宋_GB2312"/>
          <w:bCs/>
          <w:color w:val="000000"/>
          <w:sz w:val="32"/>
          <w:szCs w:val="32"/>
          <w:lang w:val="en-US" w:eastAsia="zh-CN"/>
        </w:rPr>
        <w:t>无</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（三）会议费预算情况说明</w:t>
      </w:r>
    </w:p>
    <w:p>
      <w:pPr>
        <w:widowControl/>
        <w:adjustRightInd w:val="0"/>
        <w:snapToGrid w:val="0"/>
        <w:spacing w:line="640" w:lineRule="exact"/>
        <w:ind w:firstLine="640" w:firstLineChars="200"/>
        <w:contextualSpacing/>
        <w:jc w:val="left"/>
        <w:rPr>
          <w:rFonts w:ascii="仿宋_GB2312" w:eastAsia="仿宋_GB2312"/>
          <w:sz w:val="32"/>
          <w:szCs w:val="32"/>
        </w:rPr>
      </w:pPr>
      <w:r>
        <w:rPr>
          <w:rFonts w:hint="eastAsia" w:ascii="仿宋_GB2312" w:hAnsi="TimesNewRomanPS-BoldMT" w:eastAsia="仿宋_GB2312"/>
          <w:bCs/>
          <w:color w:val="000000"/>
          <w:sz w:val="32"/>
          <w:szCs w:val="32"/>
          <w:lang w:val="en-US" w:eastAsia="zh-CN"/>
        </w:rPr>
        <w:t>无</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机关运行经费1</w:t>
      </w:r>
      <w:r>
        <w:rPr>
          <w:rFonts w:hint="eastAsia" w:ascii="仿宋_GB2312" w:hAnsi="仿宋" w:eastAsia="仿宋_GB2312"/>
          <w:sz w:val="32"/>
          <w:szCs w:val="32"/>
          <w:lang w:val="en-US" w:eastAsia="zh-CN"/>
        </w:rPr>
        <w:t>8.</w:t>
      </w:r>
      <w:r>
        <w:rPr>
          <w:rFonts w:hint="eastAsia" w:ascii="仿宋_GB2312" w:hAnsi="仿宋" w:eastAsia="仿宋_GB2312"/>
          <w:sz w:val="32"/>
          <w:szCs w:val="32"/>
        </w:rPr>
        <w:t>06万元，较2023年预算增加</w:t>
      </w:r>
      <w:r>
        <w:rPr>
          <w:rFonts w:hint="eastAsia" w:ascii="仿宋_GB2312" w:hAnsi="仿宋" w:eastAsia="仿宋_GB2312"/>
          <w:sz w:val="32"/>
          <w:szCs w:val="32"/>
          <w:lang w:val="en-US" w:eastAsia="zh-CN"/>
        </w:rPr>
        <w:t>3.06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20</w:t>
      </w:r>
      <w:r>
        <w:rPr>
          <w:rFonts w:hint="eastAsia" w:ascii="仿宋_GB2312" w:hAnsi="仿宋" w:eastAsia="仿宋_GB2312"/>
          <w:sz w:val="32"/>
          <w:szCs w:val="32"/>
        </w:rPr>
        <w:t>%，增长的主要原因是</w:t>
      </w:r>
      <w:r>
        <w:rPr>
          <w:rFonts w:hint="eastAsia" w:ascii="仿宋_GB2312" w:hAnsi="仿宋" w:eastAsia="仿宋_GB2312"/>
          <w:sz w:val="32"/>
          <w:szCs w:val="32"/>
          <w:lang w:val="en-US" w:eastAsia="zh-CN"/>
        </w:rPr>
        <w:t>单位职工增加</w:t>
      </w:r>
      <w:r>
        <w:rPr>
          <w:rFonts w:hint="eastAsia" w:ascii="仿宋_GB2312" w:hAnsi="仿宋" w:eastAsia="仿宋_GB2312"/>
          <w:sz w:val="32"/>
          <w:szCs w:val="32"/>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七、政府采购安排情况</w:t>
      </w:r>
    </w:p>
    <w:p>
      <w:pPr>
        <w:adjustRightInd w:val="0"/>
        <w:snapToGrid w:val="0"/>
        <w:spacing w:line="640" w:lineRule="exact"/>
        <w:ind w:firstLine="640" w:firstLineChars="200"/>
        <w:contextualSpacing/>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八、国有资产占用情况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上年末固定资产金额为</w:t>
      </w:r>
      <w:r>
        <w:rPr>
          <w:rFonts w:hint="eastAsia" w:ascii="仿宋_GB2312" w:hAnsi="仿宋" w:eastAsia="仿宋_GB2312"/>
          <w:sz w:val="32"/>
          <w:szCs w:val="32"/>
          <w:lang w:val="en-US" w:eastAsia="zh-CN"/>
        </w:rPr>
        <w:t>7.1</w:t>
      </w:r>
      <w:r>
        <w:rPr>
          <w:rFonts w:hint="eastAsia" w:ascii="仿宋_GB2312" w:hAnsi="仿宋" w:eastAsia="仿宋_GB2312"/>
          <w:sz w:val="32"/>
          <w:szCs w:val="32"/>
        </w:rPr>
        <w:t>万元。其中：办公用房</w:t>
      </w:r>
      <w:r>
        <w:rPr>
          <w:rFonts w:hint="eastAsia" w:ascii="仿宋" w:hAnsi="仿宋" w:eastAsia="仿宋" w:cs="仿宋"/>
          <w:b w:val="0"/>
          <w:bCs/>
          <w:color w:val="auto"/>
          <w:sz w:val="32"/>
          <w:szCs w:val="32"/>
          <w:lang w:val="en-US" w:eastAsia="zh-CN"/>
        </w:rPr>
        <w:t>115</w:t>
      </w:r>
      <w:r>
        <w:rPr>
          <w:rFonts w:hint="eastAsia" w:ascii="仿宋_GB2312" w:hAnsi="仿宋" w:eastAsia="仿宋_GB2312"/>
          <w:sz w:val="32"/>
          <w:szCs w:val="32"/>
        </w:rPr>
        <w:t>平方米，价值</w:t>
      </w:r>
      <w:r>
        <w:rPr>
          <w:rFonts w:hint="eastAsia" w:ascii="仿宋_GB2312" w:hAnsi="仿宋" w:eastAsia="仿宋_GB2312"/>
          <w:sz w:val="32"/>
          <w:szCs w:val="32"/>
          <w:lang w:val="en-US" w:eastAsia="zh-CN"/>
        </w:rPr>
        <w:t>4.9</w:t>
      </w:r>
      <w:r>
        <w:rPr>
          <w:rFonts w:hint="eastAsia" w:ascii="仿宋_GB2312" w:hAnsi="仿宋" w:eastAsia="仿宋_GB2312"/>
          <w:sz w:val="32"/>
          <w:szCs w:val="32"/>
        </w:rPr>
        <w:t xml:space="preserve">万元。预算单位共有公务用车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辆，价值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万元。单价20万元以上的设备价值</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万元。2024年拟采购固定资产约</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“未安排预算，政府性基金预算支出情况表为空表。”</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“本单位2024年</w:t>
      </w:r>
      <w:r>
        <w:rPr>
          <w:rFonts w:ascii="仿宋_GB2312" w:hAnsi="仿宋" w:eastAsia="仿宋_GB2312"/>
          <w:sz w:val="32"/>
          <w:szCs w:val="32"/>
        </w:rPr>
        <w:t>无非税收入</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（三）重点项目情况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选取1个2024年单位预算安排的经济社会发展类项目公开项目文本信息，包括项目名称、项目概况、立项依据、实施主体、实施周期、实施计划、年度预算安排、预期总体目标等内容。没有经济社会发展类项目支出的单位可公开其他类项目。</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项目名称：</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1、项目概况：2023年青年之家示范建设项目</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2、立项依据：临州财行【2023】9号</w:t>
      </w:r>
    </w:p>
    <w:p>
      <w:pPr>
        <w:widowControl/>
        <w:adjustRightInd w:val="0"/>
        <w:snapToGrid w:val="0"/>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rPr>
        <w:t>3、实施主体：</w:t>
      </w:r>
      <w:r>
        <w:rPr>
          <w:rFonts w:hint="eastAsia" w:ascii="仿宋_GB2312" w:hAnsi="仿宋" w:eastAsia="仿宋_GB2312"/>
          <w:sz w:val="32"/>
          <w:szCs w:val="32"/>
          <w:lang w:val="en-US" w:eastAsia="zh-CN"/>
        </w:rPr>
        <w:t>共青团积石山县委</w:t>
      </w:r>
    </w:p>
    <w:p>
      <w:pPr>
        <w:widowControl/>
        <w:adjustRightInd w:val="0"/>
        <w:snapToGrid w:val="0"/>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rPr>
        <w:t>4、实施周期：</w:t>
      </w:r>
      <w:r>
        <w:rPr>
          <w:rFonts w:hint="eastAsia" w:ascii="仿宋_GB2312" w:hAnsi="仿宋" w:eastAsia="仿宋_GB2312"/>
          <w:sz w:val="32"/>
          <w:szCs w:val="32"/>
          <w:lang w:val="en-US" w:eastAsia="zh-CN"/>
        </w:rPr>
        <w:t>1年</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5、实施计划：</w:t>
      </w:r>
    </w:p>
    <w:p>
      <w:pPr>
        <w:widowControl/>
        <w:adjustRightInd w:val="0"/>
        <w:snapToGrid w:val="0"/>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rPr>
        <w:t>6、年度预算安排：</w:t>
      </w:r>
      <w:r>
        <w:rPr>
          <w:rFonts w:hint="eastAsia" w:ascii="仿宋_GB2312" w:hAnsi="仿宋" w:eastAsia="仿宋_GB2312"/>
          <w:sz w:val="32"/>
          <w:szCs w:val="32"/>
          <w:lang w:val="en-US" w:eastAsia="zh-CN"/>
        </w:rPr>
        <w:t>1万元</w:t>
      </w:r>
    </w:p>
    <w:p>
      <w:pPr>
        <w:widowControl/>
        <w:adjustRightInd w:val="0"/>
        <w:snapToGrid w:val="0"/>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rPr>
        <w:t>7、预期总体目标：</w:t>
      </w:r>
      <w:r>
        <w:rPr>
          <w:rFonts w:hint="eastAsia" w:ascii="仿宋_GB2312" w:hAnsi="仿宋" w:eastAsia="仿宋_GB2312"/>
          <w:sz w:val="32"/>
          <w:szCs w:val="32"/>
          <w:lang w:val="en-US" w:eastAsia="zh-CN"/>
        </w:rPr>
        <w:t>县级</w:t>
      </w:r>
      <w:r>
        <w:rPr>
          <w:rFonts w:hint="eastAsia" w:ascii="仿宋_GB2312" w:hAnsi="仿宋" w:eastAsia="仿宋_GB2312"/>
          <w:sz w:val="32"/>
          <w:szCs w:val="32"/>
        </w:rPr>
        <w:t>青年之家</w:t>
      </w:r>
      <w:r>
        <w:rPr>
          <w:rFonts w:hint="eastAsia" w:ascii="仿宋_GB2312" w:hAnsi="仿宋" w:eastAsia="仿宋_GB2312"/>
          <w:sz w:val="32"/>
          <w:szCs w:val="32"/>
          <w:lang w:val="en-US" w:eastAsia="zh-CN"/>
        </w:rPr>
        <w:t>初步建设</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w:t>
      </w:r>
      <w:r>
        <w:rPr>
          <w:rFonts w:hint="eastAsia" w:ascii="楷体_GB2312" w:hAnsi="楷体" w:eastAsia="楷体_GB2312" w:cs="宋体"/>
          <w:b/>
          <w:bCs/>
          <w:kern w:val="0"/>
          <w:sz w:val="32"/>
          <w:szCs w:val="32"/>
          <w:lang w:val="en-US" w:eastAsia="zh-CN"/>
        </w:rPr>
        <w:t>四</w:t>
      </w:r>
      <w:r>
        <w:rPr>
          <w:rFonts w:hint="eastAsia" w:ascii="楷体_GB2312" w:hAnsi="楷体" w:eastAsia="楷体_GB2312" w:cs="宋体"/>
          <w:b/>
          <w:bCs/>
          <w:kern w:val="0"/>
          <w:sz w:val="32"/>
          <w:szCs w:val="32"/>
        </w:rPr>
        <w:t>）国有资本经营预算支出情况</w:t>
      </w:r>
    </w:p>
    <w:p>
      <w:pPr>
        <w:widowControl/>
        <w:adjustRightInd w:val="0"/>
        <w:snapToGrid w:val="0"/>
        <w:spacing w:line="640" w:lineRule="exact"/>
        <w:ind w:firstLine="640" w:firstLineChars="200"/>
        <w:contextualSpacing/>
        <w:jc w:val="left"/>
        <w:rPr>
          <w:rFonts w:ascii="仿宋_GB2312" w:hAnsi="楷体" w:eastAsia="仿宋_GB2312"/>
          <w:sz w:val="32"/>
          <w:szCs w:val="32"/>
        </w:rPr>
      </w:pPr>
      <w:r>
        <w:rPr>
          <w:rFonts w:hint="eastAsia" w:ascii="仿宋_GB2312" w:hAnsi="楷体" w:eastAsia="仿宋_GB2312"/>
          <w:sz w:val="32"/>
          <w:szCs w:val="32"/>
        </w:rPr>
        <w:t>“未安排预算，国有资本经营预算支出情况表为空表。”</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十、预算绩效管理情况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（一）2023年预算绩效管理工作情况。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1.绩效目标管理情况。</w:t>
      </w:r>
      <w:r>
        <w:rPr>
          <w:rFonts w:hint="eastAsia" w:ascii="仿宋_GB2312" w:hAnsi="仿宋" w:eastAsia="仿宋_GB2312"/>
          <w:sz w:val="32"/>
          <w:szCs w:val="32"/>
        </w:rPr>
        <w:t>2023年度，按照“谁申请资金，谁设置目标”的原则，纳入部门预算管理的</w:t>
      </w:r>
      <w:r>
        <w:rPr>
          <w:rFonts w:hint="eastAsia" w:ascii="仿宋_GB2312" w:hAnsi="CIDFont+F6" w:eastAsia="仿宋_GB2312"/>
          <w:color w:val="000000"/>
          <w:sz w:val="32"/>
          <w:szCs w:val="32"/>
        </w:rPr>
        <w:t>单位</w:t>
      </w:r>
      <w:r>
        <w:rPr>
          <w:rFonts w:hint="eastAsia" w:ascii="仿宋_GB2312" w:hAnsi="仿宋" w:eastAsia="仿宋_GB2312"/>
          <w:sz w:val="32"/>
          <w:szCs w:val="32"/>
        </w:rPr>
        <w:t>整体支出和项目绩效目标</w:t>
      </w:r>
      <w:r>
        <w:rPr>
          <w:rFonts w:hint="eastAsia" w:ascii="仿宋_GB2312" w:hAnsi="仿宋" w:eastAsia="仿宋_GB2312"/>
          <w:sz w:val="32"/>
          <w:szCs w:val="32"/>
          <w:lang w:val="en-US" w:eastAsia="zh-CN"/>
        </w:rPr>
        <w:t>1</w:t>
      </w:r>
      <w:r>
        <w:rPr>
          <w:rFonts w:hint="eastAsia" w:ascii="仿宋_GB2312" w:hAnsi="仿宋" w:eastAsia="仿宋_GB2312"/>
          <w:sz w:val="32"/>
          <w:szCs w:val="32"/>
        </w:rPr>
        <w:t>个，按规定随年度预算一并公开项目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个，公开率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2.绩效运行监控情况。</w:t>
      </w:r>
      <w:r>
        <w:rPr>
          <w:rFonts w:hint="eastAsia" w:ascii="仿宋_GB2312" w:hAnsi="仿宋" w:eastAsia="仿宋_GB2312"/>
          <w:sz w:val="32"/>
          <w:szCs w:val="32"/>
        </w:rPr>
        <w:t>2023年7月，组织开展1-6月绩效运行监控项目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w:t>
      </w:r>
      <w:r>
        <w:rPr>
          <w:rFonts w:hint="eastAsia" w:ascii="仿宋_GB2312" w:hAnsi="CIDFont+F6" w:eastAsia="仿宋_GB2312"/>
          <w:color w:val="000000"/>
          <w:sz w:val="32"/>
          <w:szCs w:val="32"/>
        </w:rPr>
        <w:t>单位</w:t>
      </w:r>
      <w:r>
        <w:rPr>
          <w:rFonts w:hint="eastAsia" w:ascii="仿宋_GB2312" w:hAnsi="仿宋" w:eastAsia="仿宋_GB2312"/>
          <w:sz w:val="32"/>
          <w:szCs w:val="32"/>
        </w:rPr>
        <w:t>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%。截至7月底，如期完成预算执行和绩效目标指标值的项目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%。“双监控”发现存在的问题和主要原因是：</w:t>
      </w:r>
      <w:r>
        <w:rPr>
          <w:rFonts w:hint="eastAsia" w:ascii="仿宋_GB2312" w:hAnsi="仿宋" w:eastAsia="仿宋_GB2312"/>
          <w:sz w:val="32"/>
          <w:szCs w:val="32"/>
          <w:lang w:val="en-US" w:eastAsia="zh-CN"/>
        </w:rPr>
        <w:t>无</w:t>
      </w:r>
      <w:r>
        <w:rPr>
          <w:rFonts w:hint="eastAsia" w:ascii="仿宋_GB2312" w:hAnsi="仿宋" w:eastAsia="仿宋_GB2312"/>
          <w:sz w:val="32"/>
          <w:szCs w:val="32"/>
        </w:rPr>
        <w:t>。开展1-9月绩效运行监控项目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个，占本单位项目的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%。截至10月底，如期完成预算执行和绩效目标指标值的项目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%。“双监控”发现存在的问题和主要原因是：</w:t>
      </w:r>
      <w:r>
        <w:rPr>
          <w:rFonts w:hint="eastAsia" w:ascii="仿宋_GB2312" w:hAnsi="仿宋" w:eastAsia="仿宋_GB2312"/>
          <w:sz w:val="32"/>
          <w:szCs w:val="32"/>
          <w:lang w:val="en-US" w:eastAsia="zh-CN"/>
        </w:rPr>
        <w:t>无</w:t>
      </w:r>
      <w:r>
        <w:rPr>
          <w:rFonts w:hint="eastAsia" w:ascii="仿宋_GB2312" w:hAnsi="仿宋" w:eastAsia="仿宋_GB2312"/>
          <w:sz w:val="32"/>
          <w:szCs w:val="32"/>
        </w:rPr>
        <w:t>。绩效运行监控在部门内部通报整改情况：</w:t>
      </w:r>
      <w:r>
        <w:rPr>
          <w:rFonts w:hint="eastAsia" w:ascii="仿宋_GB2312" w:hAnsi="仿宋" w:eastAsia="仿宋_GB2312"/>
          <w:sz w:val="32"/>
          <w:szCs w:val="32"/>
          <w:lang w:val="en-US" w:eastAsia="zh-CN"/>
        </w:rPr>
        <w:t>无</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hint="eastAsia" w:ascii="仿宋_GB2312" w:hAnsi="仿宋" w:eastAsia="仿宋_GB2312"/>
          <w:sz w:val="32"/>
          <w:szCs w:val="32"/>
        </w:rPr>
      </w:pPr>
      <w:r>
        <w:rPr>
          <w:rFonts w:hint="eastAsia" w:ascii="仿宋_GB2312" w:hAnsi="仿宋" w:eastAsia="仿宋_GB2312"/>
          <w:b/>
          <w:sz w:val="32"/>
          <w:szCs w:val="32"/>
        </w:rPr>
        <w:t>3.绩效自评开展情况。</w:t>
      </w:r>
      <w:r>
        <w:rPr>
          <w:rFonts w:hint="eastAsia" w:ascii="仿宋_GB2312" w:hAnsi="仿宋" w:eastAsia="仿宋_GB2312"/>
          <w:sz w:val="32"/>
          <w:szCs w:val="32"/>
        </w:rPr>
        <w:t>2023年度，组织开展绩效自评项目共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个，其中，单位整体支出</w:t>
      </w:r>
      <w:r>
        <w:rPr>
          <w:rFonts w:hint="eastAsia" w:ascii="仿宋_GB2312" w:hAnsi="仿宋" w:eastAsia="仿宋_GB2312"/>
          <w:sz w:val="32"/>
          <w:szCs w:val="32"/>
          <w:lang w:val="en-US" w:eastAsia="zh-CN"/>
        </w:rPr>
        <w:t>1</w:t>
      </w:r>
      <w:r>
        <w:rPr>
          <w:rFonts w:hint="eastAsia" w:ascii="仿宋_GB2312" w:hAnsi="仿宋" w:eastAsia="仿宋_GB2312"/>
          <w:sz w:val="32"/>
          <w:szCs w:val="32"/>
        </w:rPr>
        <w:t>个，项目支出</w:t>
      </w:r>
      <w:r>
        <w:rPr>
          <w:rFonts w:hint="eastAsia" w:ascii="仿宋_GB2312" w:hAnsi="仿宋" w:eastAsia="仿宋_GB2312"/>
          <w:sz w:val="32"/>
          <w:szCs w:val="32"/>
          <w:lang w:val="en-US" w:eastAsia="zh-CN"/>
        </w:rPr>
        <w:t>1</w:t>
      </w:r>
      <w:r>
        <w:rPr>
          <w:rFonts w:hint="eastAsia" w:ascii="仿宋_GB2312" w:hAnsi="仿宋" w:eastAsia="仿宋_GB2312"/>
          <w:sz w:val="32"/>
          <w:szCs w:val="32"/>
        </w:rPr>
        <w:t>个，转移支付项目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个，绩效自评覆盖率为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4.绩效结果应用情况。</w:t>
      </w:r>
      <w:r>
        <w:rPr>
          <w:rFonts w:hint="eastAsia" w:ascii="仿宋_GB2312" w:hAnsi="仿宋" w:eastAsia="仿宋_GB2312"/>
          <w:sz w:val="32"/>
          <w:szCs w:val="32"/>
        </w:rPr>
        <w:t>根据2023年度绩效运行监控、绩效自评等情况，当年盘活财政资金</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万元，2024年度增加（减少）部门预算项目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个，增长率/压减率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%。同时对政策和项目资金管理作出调整的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（二）2024年绩效目标编制情况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2024年，纳入单位预算绩效目标管理的项目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个。其中，部门整体支出绩效目标围绕部门管理、履职效果、能力建设三个维度，设置二级指标</w:t>
      </w:r>
      <w:r>
        <w:rPr>
          <w:rFonts w:hint="eastAsia" w:ascii="仿宋_GB2312" w:hAnsi="仿宋" w:eastAsia="仿宋_GB2312"/>
          <w:sz w:val="32"/>
          <w:szCs w:val="32"/>
          <w:lang w:val="en-US" w:eastAsia="zh-CN"/>
        </w:rPr>
        <w:t>14</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22</w:t>
      </w:r>
      <w:r>
        <w:rPr>
          <w:rFonts w:hint="eastAsia" w:ascii="仿宋_GB2312" w:hAnsi="仿宋" w:eastAsia="仿宋_GB2312"/>
          <w:sz w:val="32"/>
          <w:szCs w:val="32"/>
        </w:rPr>
        <w:t>个；项目支出绩效目标围绕成本指标、产出指标、效益指标、满意度指标四个维度，设置二级指标</w:t>
      </w:r>
      <w:r>
        <w:rPr>
          <w:rFonts w:hint="eastAsia" w:ascii="仿宋_GB2312" w:hAnsi="仿宋" w:eastAsia="仿宋_GB2312"/>
          <w:sz w:val="32"/>
          <w:szCs w:val="32"/>
          <w:lang w:val="en-US" w:eastAsia="zh-CN"/>
        </w:rPr>
        <w:t>7</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10</w:t>
      </w:r>
      <w:r>
        <w:rPr>
          <w:rFonts w:hint="eastAsia" w:ascii="仿宋_GB2312" w:hAnsi="仿宋" w:eastAsia="仿宋_GB2312"/>
          <w:sz w:val="32"/>
          <w:szCs w:val="32"/>
        </w:rPr>
        <w:t>个。各项绩效目标内容指向明确、细化量化、合理可行，符合规定的格式要求。</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w:t>
      </w:r>
    </w:p>
    <w:p>
      <w:pPr>
        <w:adjustRightInd w:val="0"/>
        <w:snapToGrid w:val="0"/>
        <w:spacing w:line="640" w:lineRule="exact"/>
        <w:ind w:firstLine="640" w:firstLineChars="200"/>
        <w:contextualSpacing/>
        <w:rPr>
          <w:rFonts w:hint="eastAsia" w:ascii="仿宋_GB2312" w:hAnsi="CIDFont+F6" w:eastAsia="仿宋_GB2312"/>
          <w:color w:val="000000"/>
          <w:sz w:val="32"/>
          <w:szCs w:val="32"/>
        </w:rPr>
      </w:pP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ind w:right="960"/>
        <w:contextualSpacing/>
        <w:jc w:val="right"/>
        <w:rPr>
          <w:rFonts w:hint="eastAsia" w:ascii="仿宋_GB2312" w:hAnsi="CIDFont+F6" w:eastAsia="仿宋_GB2312"/>
          <w:color w:val="000000"/>
          <w:sz w:val="32"/>
          <w:szCs w:val="32"/>
        </w:rPr>
      </w:pPr>
      <w:r>
        <w:rPr>
          <w:rFonts w:hint="eastAsia" w:ascii="仿宋_GB2312" w:hAnsi="CIDFont+F6" w:eastAsia="仿宋_GB2312"/>
          <w:color w:val="000000"/>
          <w:sz w:val="32"/>
          <w:szCs w:val="32"/>
          <w:lang w:val="en-US" w:eastAsia="zh-CN"/>
        </w:rPr>
        <w:t>共青团积石山县委</w:t>
      </w:r>
    </w:p>
    <w:p>
      <w:pPr>
        <w:adjustRightInd w:val="0"/>
        <w:snapToGrid w:val="0"/>
        <w:spacing w:line="640" w:lineRule="exact"/>
        <w:ind w:right="1120"/>
        <w:contextualSpacing/>
        <w:jc w:val="right"/>
        <w:rPr>
          <w:rFonts w:ascii="仿宋_GB2312" w:eastAsia="仿宋_GB2312"/>
          <w:sz w:val="32"/>
          <w:szCs w:val="32"/>
        </w:rPr>
      </w:pPr>
      <w:bookmarkStart w:id="0" w:name="_GoBack"/>
      <w:bookmarkEnd w:id="0"/>
      <w:r>
        <w:rPr>
          <w:rFonts w:hint="eastAsia" w:ascii="仿宋_GB2312" w:hAnsi="CIDFont+F6" w:eastAsia="仿宋_GB2312"/>
          <w:color w:val="000000"/>
          <w:sz w:val="32"/>
          <w:szCs w:val="32"/>
          <w:lang w:val="en-US" w:eastAsia="zh-CN"/>
        </w:rPr>
        <w:t>2024</w:t>
      </w:r>
      <w:r>
        <w:rPr>
          <w:rFonts w:hint="eastAsia" w:ascii="仿宋_GB2312" w:hAnsi="CIDFont+F6" w:eastAsia="仿宋_GB2312"/>
          <w:color w:val="000000"/>
          <w:sz w:val="32"/>
          <w:szCs w:val="32"/>
        </w:rPr>
        <w:t>年</w:t>
      </w:r>
      <w:r>
        <w:rPr>
          <w:rFonts w:hint="eastAsia" w:ascii="仿宋_GB2312" w:hAnsi="CIDFont+F6" w:eastAsia="仿宋_GB2312"/>
          <w:color w:val="000000"/>
          <w:sz w:val="32"/>
          <w:szCs w:val="32"/>
          <w:lang w:val="en-US" w:eastAsia="zh-CN"/>
        </w:rPr>
        <w:t>3</w:t>
      </w:r>
      <w:r>
        <w:rPr>
          <w:rFonts w:hint="eastAsia" w:ascii="仿宋_GB2312" w:hAnsi="CIDFont+F6" w:eastAsia="仿宋_GB2312"/>
          <w:color w:val="000000"/>
          <w:sz w:val="32"/>
          <w:szCs w:val="32"/>
        </w:rPr>
        <w:t>月</w:t>
      </w:r>
      <w:r>
        <w:rPr>
          <w:rFonts w:hint="eastAsia" w:ascii="仿宋_GB2312" w:hAnsi="CIDFont+F6" w:eastAsia="仿宋_GB2312"/>
          <w:color w:val="000000"/>
          <w:sz w:val="32"/>
          <w:szCs w:val="32"/>
          <w:lang w:val="en-US" w:eastAsia="zh-CN"/>
        </w:rPr>
        <w:t>19</w:t>
      </w:r>
      <w:r>
        <w:rPr>
          <w:rFonts w:hint="eastAsia" w:ascii="仿宋_GB2312" w:hAnsi="CIDFont+F6" w:eastAsia="仿宋_GB2312"/>
          <w:color w:val="000000"/>
          <w:sz w:val="32"/>
          <w:szCs w:val="32"/>
        </w:rPr>
        <w:t>日</w:t>
      </w:r>
    </w:p>
    <w:p>
      <w:pPr>
        <w:adjustRightInd w:val="0"/>
        <w:snapToGrid w:val="0"/>
        <w:spacing w:line="640" w:lineRule="exact"/>
        <w:ind w:firstLine="640" w:firstLineChars="200"/>
        <w:contextualSpacing/>
        <w:rPr>
          <w:rFonts w:ascii="仿宋_GB2312" w:hAnsi="宋体" w:eastAsia="仿宋_GB2312" w:cs="宋体"/>
          <w:kern w:val="0"/>
          <w:sz w:val="32"/>
          <w:szCs w:val="32"/>
        </w:rPr>
      </w:pPr>
    </w:p>
    <w:p>
      <w:pPr>
        <w:adjustRightInd w:val="0"/>
        <w:snapToGrid w:val="0"/>
        <w:spacing w:line="640" w:lineRule="exact"/>
        <w:ind w:firstLine="640" w:firstLineChars="200"/>
        <w:contextualSpacing/>
        <w:rPr>
          <w:rFonts w:ascii="仿宋_GB2312" w:hAnsi="宋体" w:eastAsia="仿宋_GB2312" w:cs="宋体"/>
          <w:spacing w:val="-20"/>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spacing w:val="-20"/>
          <w:kern w:val="0"/>
          <w:sz w:val="32"/>
          <w:szCs w:val="32"/>
        </w:rPr>
        <w:t>1.</w:t>
      </w:r>
      <w:r>
        <w:rPr>
          <w:rFonts w:hint="eastAsia" w:ascii="仿宋_GB2312" w:hAnsi="宋体" w:eastAsia="仿宋_GB2312" w:cs="宋体"/>
          <w:spacing w:val="-20"/>
          <w:kern w:val="0"/>
          <w:sz w:val="32"/>
          <w:szCs w:val="32"/>
          <w:lang w:val="en-US" w:eastAsia="zh-CN"/>
        </w:rPr>
        <w:t>共青团积石山县委</w:t>
      </w:r>
      <w:r>
        <w:rPr>
          <w:rFonts w:hint="eastAsia" w:ascii="仿宋_GB2312" w:hAnsi="宋体" w:eastAsia="仿宋_GB2312" w:cs="宋体"/>
          <w:spacing w:val="-20"/>
          <w:kern w:val="0"/>
          <w:sz w:val="32"/>
          <w:szCs w:val="32"/>
        </w:rPr>
        <w:t>2024年</w:t>
      </w:r>
      <w:r>
        <w:rPr>
          <w:rFonts w:hint="eastAsia" w:ascii="仿宋_GB2312" w:hAnsi="CIDFont+F6" w:eastAsia="仿宋_GB2312"/>
          <w:color w:val="000000"/>
          <w:sz w:val="32"/>
          <w:szCs w:val="32"/>
        </w:rPr>
        <w:t>单位</w:t>
      </w:r>
      <w:r>
        <w:rPr>
          <w:rFonts w:hint="eastAsia" w:ascii="仿宋_GB2312" w:hAnsi="宋体" w:eastAsia="仿宋_GB2312" w:cs="宋体"/>
          <w:spacing w:val="-20"/>
          <w:kern w:val="0"/>
          <w:sz w:val="32"/>
          <w:szCs w:val="32"/>
        </w:rPr>
        <w:t>预算公开表</w:t>
      </w:r>
    </w:p>
    <w:p>
      <w:pPr>
        <w:adjustRightInd w:val="0"/>
        <w:snapToGrid w:val="0"/>
        <w:spacing w:line="640" w:lineRule="exact"/>
        <w:ind w:left="1796" w:leftChars="767" w:hanging="185" w:hangingChars="58"/>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spacing w:val="-20"/>
          <w:kern w:val="0"/>
          <w:sz w:val="32"/>
          <w:szCs w:val="32"/>
          <w:lang w:val="en-US" w:eastAsia="zh-CN"/>
        </w:rPr>
        <w:t>共青团积石山县委</w:t>
      </w:r>
      <w:r>
        <w:rPr>
          <w:rFonts w:hint="eastAsia" w:ascii="仿宋_GB2312" w:hAnsi="宋体" w:eastAsia="仿宋_GB2312" w:cs="宋体"/>
          <w:kern w:val="0"/>
          <w:sz w:val="32"/>
          <w:szCs w:val="32"/>
        </w:rPr>
        <w:t>2024年</w:t>
      </w:r>
      <w:r>
        <w:rPr>
          <w:rFonts w:hint="eastAsia" w:ascii="仿宋_GB2312" w:hAnsi="CIDFont+F6" w:eastAsia="仿宋_GB2312"/>
          <w:color w:val="000000"/>
          <w:sz w:val="32"/>
          <w:szCs w:val="32"/>
        </w:rPr>
        <w:t>单位</w:t>
      </w:r>
      <w:r>
        <w:rPr>
          <w:rFonts w:hint="eastAsia" w:ascii="仿宋_GB2312" w:hAnsi="宋体" w:eastAsia="仿宋_GB2312" w:cs="宋体"/>
          <w:kern w:val="0"/>
          <w:sz w:val="32"/>
          <w:szCs w:val="32"/>
        </w:rPr>
        <w:t>整体支出绩效目标及预算项目绩效目标表</w:t>
      </w:r>
    </w:p>
    <w:p>
      <w:pPr>
        <w:adjustRightInd w:val="0"/>
        <w:snapToGrid w:val="0"/>
        <w:spacing w:line="640" w:lineRule="exact"/>
        <w:contextualSpacing/>
        <w:rPr>
          <w:rFonts w:ascii="宋体" w:hAnsi="宋体"/>
          <w:b/>
        </w:rPr>
      </w:pPr>
      <w:r>
        <w:rPr>
          <w:rFonts w:hint="eastAsia" w:ascii="黑体" w:eastAsia="黑体"/>
          <w:sz w:val="30"/>
          <w:szCs w:val="30"/>
        </w:rPr>
        <w:br w:type="page"/>
      </w:r>
      <w:r>
        <w:rPr>
          <w:rFonts w:hint="eastAsia" w:ascii="黑体" w:eastAsia="黑体"/>
          <w:sz w:val="30"/>
          <w:szCs w:val="30"/>
        </w:rPr>
        <w:t>附件1</w:t>
      </w:r>
    </w:p>
    <w:p>
      <w:pPr>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w:t>
      </w:r>
      <w:r>
        <w:rPr>
          <w:rFonts w:hint="eastAsia" w:ascii="仿宋_GB2312" w:hAnsi="CIDFont+F6" w:eastAsia="仿宋_GB2312"/>
          <w:color w:val="000000"/>
          <w:sz w:val="32"/>
          <w:szCs w:val="32"/>
        </w:rPr>
        <w:t>单位</w:t>
      </w:r>
      <w:r>
        <w:rPr>
          <w:rFonts w:hint="eastAsia" w:ascii="仿宋_GB2312" w:hAnsi="宋体" w:eastAsia="仿宋_GB2312" w:cs="宋体"/>
          <w:kern w:val="0"/>
          <w:sz w:val="32"/>
          <w:szCs w:val="32"/>
        </w:rPr>
        <w:t>收支总体情况表</w:t>
      </w:r>
    </w:p>
    <w:tbl>
      <w:tblPr>
        <w:tblStyle w:val="8"/>
        <w:tblpPr w:leftFromText="180" w:rightFromText="180" w:vertAnchor="text" w:horzAnchor="page" w:tblpX="1285" w:tblpY="342"/>
        <w:tblOverlap w:val="never"/>
        <w:tblW w:w="9616" w:type="dxa"/>
        <w:tblInd w:w="0" w:type="dxa"/>
        <w:tblLayout w:type="autofit"/>
        <w:tblCellMar>
          <w:top w:w="0" w:type="dxa"/>
          <w:left w:w="108" w:type="dxa"/>
          <w:bottom w:w="0" w:type="dxa"/>
          <w:right w:w="108" w:type="dxa"/>
        </w:tblCellMar>
      </w:tblPr>
      <w:tblGrid>
        <w:gridCol w:w="3368"/>
        <w:gridCol w:w="1600"/>
        <w:gridCol w:w="3236"/>
        <w:gridCol w:w="1412"/>
      </w:tblGrid>
      <w:tr>
        <w:tblPrEx>
          <w:tblCellMar>
            <w:top w:w="0" w:type="dxa"/>
            <w:left w:w="108" w:type="dxa"/>
            <w:bottom w:w="0" w:type="dxa"/>
            <w:right w:w="108" w:type="dxa"/>
          </w:tblCellMar>
        </w:tblPrEx>
        <w:trPr>
          <w:trHeight w:val="20" w:hRule="atLeast"/>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keepNext w:val="0"/>
              <w:keepLines w:val="0"/>
              <w:widowControl/>
              <w:suppressLineNumbers w:val="0"/>
              <w:jc w:val="both"/>
              <w:textAlignment w:val="center"/>
              <w:rPr>
                <w:rFonts w:hint="default" w:ascii="Arial" w:hAnsi="Arial" w:eastAsia="宋体" w:cs="Arial"/>
                <w:i w:val="0"/>
                <w:iCs w:val="0"/>
                <w:color w:val="000000"/>
                <w:kern w:val="2"/>
                <w:sz w:val="21"/>
                <w:szCs w:val="21"/>
                <w:u w:val="none"/>
                <w:lang w:val="en-US" w:eastAsia="zh-CN" w:bidi="ar-SA"/>
              </w:rPr>
            </w:pPr>
            <w:r>
              <w:rPr>
                <w:rFonts w:hint="eastAsia" w:ascii="Arial" w:hAnsi="Arial" w:cs="Arial"/>
                <w:i w:val="0"/>
                <w:iCs w:val="0"/>
                <w:color w:val="000000"/>
                <w:kern w:val="0"/>
                <w:sz w:val="21"/>
                <w:szCs w:val="21"/>
                <w:u w:val="none"/>
                <w:lang w:val="en-US" w:eastAsia="zh-CN" w:bidi="ar"/>
              </w:rPr>
              <w:t>110.08</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vAlign w:val="center"/>
          </w:tcPr>
          <w:p>
            <w:pPr>
              <w:keepNext w:val="0"/>
              <w:keepLines w:val="0"/>
              <w:widowControl/>
              <w:suppressLineNumbers w:val="0"/>
              <w:jc w:val="both"/>
              <w:textAlignment w:val="center"/>
              <w:rPr>
                <w:rFonts w:hint="default" w:ascii="Arial" w:hAnsi="Arial" w:eastAsia="宋体" w:cs="Arial"/>
                <w:i w:val="0"/>
                <w:iCs w:val="0"/>
                <w:color w:val="000000"/>
                <w:kern w:val="2"/>
                <w:sz w:val="21"/>
                <w:szCs w:val="21"/>
                <w:u w:val="none"/>
                <w:lang w:val="en-US" w:eastAsia="zh-CN" w:bidi="ar-SA"/>
              </w:rPr>
            </w:pPr>
            <w:r>
              <w:rPr>
                <w:rFonts w:hint="eastAsia" w:ascii="Arial" w:hAnsi="Arial" w:cs="Arial"/>
                <w:i w:val="0"/>
                <w:iCs w:val="0"/>
                <w:color w:val="000000"/>
                <w:kern w:val="0"/>
                <w:sz w:val="21"/>
                <w:szCs w:val="21"/>
                <w:u w:val="none"/>
                <w:lang w:val="en-US" w:eastAsia="zh-CN" w:bidi="ar"/>
              </w:rPr>
              <w:t>110.08</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82"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keepNext w:val="0"/>
              <w:keepLines w:val="0"/>
              <w:widowControl/>
              <w:suppressLineNumbers w:val="0"/>
              <w:jc w:val="both"/>
              <w:textAlignment w:val="center"/>
              <w:rPr>
                <w:rFonts w:hint="default" w:ascii="Arial" w:hAnsi="Arial" w:eastAsia="宋体" w:cs="Arial"/>
                <w:i w:val="0"/>
                <w:iCs w:val="0"/>
                <w:color w:val="000000"/>
                <w:kern w:val="2"/>
                <w:sz w:val="21"/>
                <w:szCs w:val="21"/>
                <w:u w:val="none"/>
                <w:lang w:val="en-US" w:eastAsia="zh-CN" w:bidi="ar-SA"/>
              </w:rPr>
            </w:pPr>
            <w:r>
              <w:rPr>
                <w:rFonts w:hint="eastAsia" w:ascii="Arial" w:hAnsi="Arial" w:cs="Arial"/>
                <w:i w:val="0"/>
                <w:iCs w:val="0"/>
                <w:color w:val="000000"/>
                <w:kern w:val="0"/>
                <w:sz w:val="21"/>
                <w:szCs w:val="21"/>
                <w:u w:val="none"/>
                <w:lang w:val="en-US" w:eastAsia="zh-CN" w:bidi="ar"/>
              </w:rPr>
              <w:t>110.08</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vAlign w:val="center"/>
          </w:tcPr>
          <w:p>
            <w:pPr>
              <w:keepNext w:val="0"/>
              <w:keepLines w:val="0"/>
              <w:widowControl/>
              <w:suppressLineNumbers w:val="0"/>
              <w:jc w:val="both"/>
              <w:textAlignment w:val="center"/>
              <w:rPr>
                <w:rFonts w:hint="default" w:ascii="Arial" w:hAnsi="Arial" w:eastAsia="宋体" w:cs="Arial"/>
                <w:i w:val="0"/>
                <w:iCs w:val="0"/>
                <w:color w:val="000000"/>
                <w:kern w:val="2"/>
                <w:sz w:val="21"/>
                <w:szCs w:val="21"/>
                <w:u w:val="none"/>
                <w:lang w:val="en-US" w:eastAsia="zh-CN" w:bidi="ar-SA"/>
              </w:rPr>
            </w:pPr>
            <w:r>
              <w:rPr>
                <w:rFonts w:hint="eastAsia" w:ascii="Arial" w:hAnsi="Arial" w:cs="Arial"/>
                <w:i w:val="0"/>
                <w:iCs w:val="0"/>
                <w:color w:val="000000"/>
                <w:kern w:val="0"/>
                <w:sz w:val="21"/>
                <w:szCs w:val="21"/>
                <w:u w:val="none"/>
                <w:lang w:val="en-US" w:eastAsia="zh-CN" w:bidi="ar"/>
              </w:rPr>
              <w:t>110.08</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三十一、结转下年</w:t>
            </w:r>
          </w:p>
        </w:tc>
        <w:tc>
          <w:tcPr>
            <w:tcW w:w="1412" w:type="dxa"/>
            <w:tcBorders>
              <w:top w:val="nil"/>
              <w:left w:val="nil"/>
              <w:bottom w:val="single" w:color="auto" w:sz="4" w:space="0"/>
              <w:right w:val="nil"/>
            </w:tcBorders>
            <w:shd w:val="clear" w:color="CCCCFF"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single" w:color="auto" w:sz="4" w:space="0"/>
              <w:left w:val="nil"/>
              <w:bottom w:val="single" w:color="auto" w:sz="4" w:space="0"/>
              <w:right w:val="nil"/>
            </w:tcBorders>
            <w:shd w:val="clear" w:color="auto" w:fill="auto"/>
            <w:noWrap/>
            <w:vAlign w:val="bottom"/>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keepNext w:val="0"/>
              <w:keepLines w:val="0"/>
              <w:widowControl/>
              <w:suppressLineNumbers w:val="0"/>
              <w:jc w:val="both"/>
              <w:textAlignment w:val="center"/>
              <w:rPr>
                <w:rFonts w:hint="default" w:ascii="Arial" w:hAnsi="Arial" w:eastAsia="宋体" w:cs="Arial"/>
                <w:i w:val="0"/>
                <w:iCs w:val="0"/>
                <w:color w:val="000000"/>
                <w:kern w:val="2"/>
                <w:sz w:val="21"/>
                <w:szCs w:val="21"/>
                <w:u w:val="none"/>
                <w:lang w:val="en-US" w:eastAsia="zh-CN" w:bidi="ar-SA"/>
              </w:rPr>
            </w:pPr>
            <w:r>
              <w:rPr>
                <w:rFonts w:hint="eastAsia" w:ascii="Arial" w:hAnsi="Arial" w:cs="Arial"/>
                <w:i w:val="0"/>
                <w:iCs w:val="0"/>
                <w:color w:val="000000"/>
                <w:kern w:val="0"/>
                <w:sz w:val="21"/>
                <w:szCs w:val="21"/>
                <w:u w:val="none"/>
                <w:lang w:val="en-US" w:eastAsia="zh-CN" w:bidi="ar"/>
              </w:rPr>
              <w:t>110.08</w:t>
            </w:r>
          </w:p>
        </w:tc>
        <w:tc>
          <w:tcPr>
            <w:tcW w:w="3236"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pPr>
              <w:keepNext w:val="0"/>
              <w:keepLines w:val="0"/>
              <w:widowControl/>
              <w:suppressLineNumbers w:val="0"/>
              <w:jc w:val="both"/>
              <w:textAlignment w:val="center"/>
              <w:rPr>
                <w:rFonts w:hint="default" w:ascii="Arial" w:hAnsi="Arial" w:eastAsia="宋体" w:cs="Arial"/>
                <w:i w:val="0"/>
                <w:iCs w:val="0"/>
                <w:color w:val="000000"/>
                <w:kern w:val="2"/>
                <w:sz w:val="21"/>
                <w:szCs w:val="21"/>
                <w:u w:val="none"/>
                <w:lang w:val="en-US" w:eastAsia="zh-CN" w:bidi="ar-SA"/>
              </w:rPr>
            </w:pPr>
            <w:r>
              <w:rPr>
                <w:rFonts w:hint="eastAsia" w:ascii="Arial" w:hAnsi="Arial" w:cs="Arial"/>
                <w:i w:val="0"/>
                <w:iCs w:val="0"/>
                <w:color w:val="000000"/>
                <w:kern w:val="0"/>
                <w:sz w:val="21"/>
                <w:szCs w:val="21"/>
                <w:u w:val="none"/>
                <w:lang w:val="en-US" w:eastAsia="zh-CN" w:bidi="ar"/>
              </w:rPr>
              <w:t>110.08</w:t>
            </w:r>
          </w:p>
        </w:tc>
      </w:tr>
    </w:tbl>
    <w:p>
      <w:pPr>
        <w:ind w:firstLine="8820" w:firstLineChars="4900"/>
        <w:jc w:val="both"/>
        <w:rPr>
          <w:rFonts w:ascii="宋体" w:hAnsi="宋体" w:cs="Arial"/>
          <w:color w:val="000000"/>
          <w:kern w:val="0"/>
          <w:sz w:val="18"/>
          <w:szCs w:val="18"/>
        </w:rPr>
      </w:pPr>
      <w:r>
        <w:rPr>
          <w:rFonts w:hint="eastAsia" w:ascii="宋体" w:hAnsi="宋体" w:cs="Arial"/>
          <w:color w:val="000000"/>
          <w:kern w:val="0"/>
          <w:sz w:val="18"/>
          <w:szCs w:val="18"/>
        </w:rPr>
        <w:t>单位：万元</w:t>
      </w:r>
    </w:p>
    <w:p>
      <w:pPr>
        <w:widowControl/>
        <w:spacing w:line="560" w:lineRule="exact"/>
        <w:ind w:firstLine="360" w:firstLineChars="200"/>
        <w:jc w:val="left"/>
        <w:rPr>
          <w:rFonts w:ascii="仿宋_GB2312" w:hAnsi="微软雅黑" w:eastAsia="仿宋_GB2312"/>
          <w:sz w:val="18"/>
          <w:szCs w:val="18"/>
        </w:rPr>
        <w:sectPr>
          <w:pgSz w:w="11906" w:h="16838"/>
          <w:pgMar w:top="71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w:t>
      </w:r>
      <w:r>
        <w:rPr>
          <w:rFonts w:hint="eastAsia" w:ascii="仿宋_GB2312" w:hAnsi="CIDFont+F6" w:eastAsia="仿宋_GB2312"/>
          <w:color w:val="000000"/>
          <w:sz w:val="32"/>
          <w:szCs w:val="32"/>
        </w:rPr>
        <w:t>单位</w:t>
      </w:r>
      <w:r>
        <w:rPr>
          <w:rFonts w:hint="eastAsia" w:ascii="仿宋_GB2312" w:hAnsi="宋体" w:eastAsia="仿宋_GB2312" w:cs="宋体"/>
          <w:kern w:val="0"/>
          <w:sz w:val="32"/>
          <w:szCs w:val="32"/>
        </w:rPr>
        <w:t>收入总体情况表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588" w:type="dxa"/>
        <w:jc w:val="center"/>
        <w:tblLayout w:type="autofit"/>
        <w:tblCellMar>
          <w:top w:w="0" w:type="dxa"/>
          <w:left w:w="108" w:type="dxa"/>
          <w:bottom w:w="0" w:type="dxa"/>
          <w:right w:w="108" w:type="dxa"/>
        </w:tblCellMar>
      </w:tblPr>
      <w:tblGrid>
        <w:gridCol w:w="6612"/>
        <w:gridCol w:w="2976"/>
      </w:tblGrid>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keepNext w:val="0"/>
              <w:keepLines w:val="0"/>
              <w:widowControl/>
              <w:suppressLineNumbers w:val="0"/>
              <w:jc w:val="both"/>
              <w:textAlignment w:val="center"/>
              <w:rPr>
                <w:rFonts w:hint="default" w:ascii="Arial" w:hAnsi="Arial" w:eastAsia="宋体" w:cs="Arial"/>
                <w:i w:val="0"/>
                <w:iCs w:val="0"/>
                <w:color w:val="000000"/>
                <w:kern w:val="2"/>
                <w:sz w:val="21"/>
                <w:szCs w:val="21"/>
                <w:u w:val="none"/>
                <w:lang w:val="en-US" w:eastAsia="zh-CN" w:bidi="ar-SA"/>
              </w:rPr>
            </w:pPr>
            <w:r>
              <w:rPr>
                <w:rFonts w:hint="eastAsia" w:ascii="Arial" w:hAnsi="Arial" w:cs="Arial"/>
                <w:i w:val="0"/>
                <w:iCs w:val="0"/>
                <w:color w:val="000000"/>
                <w:kern w:val="0"/>
                <w:sz w:val="21"/>
                <w:szCs w:val="21"/>
                <w:u w:val="none"/>
                <w:lang w:val="en-US" w:eastAsia="zh-CN" w:bidi="ar"/>
              </w:rPr>
              <w:t>110.08</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二、政府性基金预算财政拨款收入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三、国有资本经营预算收入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b/>
                <w:color w:val="000000"/>
                <w:sz w:val="18"/>
                <w:szCs w:val="18"/>
              </w:rPr>
              <w:t>四、教育专户核算</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五、事业收入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六、上级补助收入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七、附属单位上缴收入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八、经营收入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九、其他收入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pPr>
              <w:keepNext w:val="0"/>
              <w:keepLines w:val="0"/>
              <w:widowControl/>
              <w:suppressLineNumbers w:val="0"/>
              <w:jc w:val="both"/>
              <w:textAlignment w:val="center"/>
              <w:rPr>
                <w:rFonts w:hint="default" w:ascii="Arial" w:hAnsi="Arial" w:eastAsia="宋体" w:cs="Arial"/>
                <w:i w:val="0"/>
                <w:iCs w:val="0"/>
                <w:color w:val="000000"/>
                <w:kern w:val="2"/>
                <w:sz w:val="21"/>
                <w:szCs w:val="21"/>
                <w:u w:val="none"/>
                <w:lang w:val="en-US" w:eastAsia="zh-CN" w:bidi="ar-SA"/>
              </w:rPr>
            </w:pPr>
            <w:r>
              <w:rPr>
                <w:rFonts w:hint="eastAsia" w:ascii="Arial" w:hAnsi="Arial" w:cs="Arial"/>
                <w:i w:val="0"/>
                <w:iCs w:val="0"/>
                <w:color w:val="000000"/>
                <w:kern w:val="0"/>
                <w:sz w:val="21"/>
                <w:szCs w:val="21"/>
                <w:u w:val="none"/>
                <w:lang w:val="en-US" w:eastAsia="zh-CN" w:bidi="ar"/>
              </w:rPr>
              <w:t>109.08</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hint="eastAsia"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pPr>
              <w:keepNext w:val="0"/>
              <w:keepLines w:val="0"/>
              <w:widowControl/>
              <w:suppressLineNumbers w:val="0"/>
              <w:jc w:val="both"/>
              <w:textAlignment w:val="center"/>
              <w:rPr>
                <w:rFonts w:hint="default" w:ascii="Arial" w:hAnsi="Arial" w:eastAsia="宋体" w:cs="Arial"/>
                <w:i w:val="0"/>
                <w:iCs w:val="0"/>
                <w:color w:val="000000"/>
                <w:kern w:val="2"/>
                <w:sz w:val="21"/>
                <w:szCs w:val="21"/>
                <w:u w:val="none"/>
                <w:lang w:val="en-US" w:eastAsia="zh-CN" w:bidi="ar-SA"/>
              </w:rPr>
            </w:pPr>
            <w:r>
              <w:rPr>
                <w:rFonts w:hint="eastAsia" w:ascii="Arial" w:hAnsi="Arial" w:cs="Arial"/>
                <w:i w:val="0"/>
                <w:iCs w:val="0"/>
                <w:color w:val="000000"/>
                <w:kern w:val="0"/>
                <w:sz w:val="21"/>
                <w:szCs w:val="21"/>
                <w:u w:val="none"/>
                <w:lang w:val="en-US" w:eastAsia="zh-CN" w:bidi="ar"/>
              </w:rPr>
              <w:t>110.08</w:t>
            </w:r>
          </w:p>
        </w:tc>
      </w:tr>
    </w:tbl>
    <w:p>
      <w:pPr>
        <w:widowControl/>
        <w:spacing w:line="560" w:lineRule="exact"/>
        <w:ind w:firstLine="360" w:firstLineChars="200"/>
        <w:jc w:val="left"/>
        <w:rPr>
          <w:rFonts w:ascii="宋体" w:hAnsi="宋体"/>
          <w:bCs/>
          <w:color w:val="000000"/>
          <w:sz w:val="18"/>
          <w:szCs w:val="18"/>
        </w:rPr>
      </w:pPr>
      <w:r>
        <w:rPr>
          <w:rFonts w:hint="eastAsia" w:ascii="宋体" w:hAnsi="宋体"/>
          <w:bCs/>
          <w:color w:val="000000"/>
          <w:sz w:val="18"/>
          <w:szCs w:val="18"/>
        </w:rPr>
        <w:t>备注：无内容应公开空表并说明情况。</w:t>
      </w:r>
    </w:p>
    <w:p>
      <w:pPr>
        <w:tabs>
          <w:tab w:val="left" w:pos="1272"/>
        </w:tabs>
        <w:rPr>
          <w:rFonts w:ascii="仿宋_GB2312" w:hAnsi="微软雅黑" w:eastAsia="仿宋_GB2312"/>
          <w:sz w:val="18"/>
          <w:szCs w:val="18"/>
        </w:rPr>
      </w:pPr>
      <w:r>
        <w:rPr>
          <w:rFonts w:ascii="仿宋_GB2312" w:hAnsi="微软雅黑" w:eastAsia="仿宋_GB2312"/>
          <w:sz w:val="18"/>
          <w:szCs w:val="18"/>
        </w:rPr>
        <w:tab/>
      </w:r>
    </w:p>
    <w:p>
      <w:pPr>
        <w:tabs>
          <w:tab w:val="left" w:pos="12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w:t>
      </w:r>
      <w:r>
        <w:rPr>
          <w:rFonts w:hint="eastAsia" w:ascii="仿宋_GB2312" w:hAnsi="CIDFont+F6" w:eastAsia="仿宋_GB2312"/>
          <w:color w:val="000000"/>
          <w:sz w:val="32"/>
          <w:szCs w:val="32"/>
        </w:rPr>
        <w:t>单位</w:t>
      </w:r>
      <w:r>
        <w:rPr>
          <w:rFonts w:hint="eastAsia" w:ascii="仿宋_GB2312" w:hAnsi="宋体" w:eastAsia="仿宋_GB2312" w:cs="宋体"/>
          <w:kern w:val="0"/>
          <w:sz w:val="32"/>
          <w:szCs w:val="32"/>
        </w:rPr>
        <w:t>支出总体情况表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712" w:type="dxa"/>
        <w:jc w:val="center"/>
        <w:tblLayout w:type="autofit"/>
        <w:tblCellMar>
          <w:top w:w="0" w:type="dxa"/>
          <w:left w:w="108" w:type="dxa"/>
          <w:bottom w:w="0" w:type="dxa"/>
          <w:right w:w="108" w:type="dxa"/>
        </w:tblCellMar>
      </w:tblPr>
      <w:tblGrid>
        <w:gridCol w:w="3588"/>
        <w:gridCol w:w="1531"/>
        <w:gridCol w:w="1531"/>
        <w:gridCol w:w="1531"/>
        <w:gridCol w:w="1531"/>
      </w:tblGrid>
      <w:tr>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hint="eastAsia" w:ascii="宋体" w:hAnsi="宋体"/>
                <w:b/>
                <w:sz w:val="18"/>
                <w:szCs w:val="18"/>
              </w:rPr>
              <w:t>……</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4056"/>
        </w:tabs>
        <w:rPr>
          <w:rFonts w:ascii="仿宋_GB2312" w:hAnsi="微软雅黑" w:eastAsia="仿宋_GB2312"/>
          <w:sz w:val="18"/>
          <w:szCs w:val="18"/>
        </w:rPr>
      </w:pPr>
      <w:r>
        <w:rPr>
          <w:rFonts w:ascii="仿宋_GB2312" w:hAnsi="微软雅黑" w:eastAsia="仿宋_GB2312"/>
          <w:sz w:val="18"/>
          <w:szCs w:val="18"/>
        </w:rPr>
        <w:tab/>
      </w:r>
    </w:p>
    <w:p>
      <w:pPr>
        <w:tabs>
          <w:tab w:val="left" w:pos="4056"/>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802" w:type="dxa"/>
        <w:jc w:val="center"/>
        <w:tblLayout w:type="autofit"/>
        <w:tblCellMar>
          <w:top w:w="0" w:type="dxa"/>
          <w:left w:w="108" w:type="dxa"/>
          <w:bottom w:w="0" w:type="dxa"/>
          <w:right w:w="108" w:type="dxa"/>
        </w:tblCellMar>
      </w:tblPr>
      <w:tblGrid>
        <w:gridCol w:w="3195"/>
        <w:gridCol w:w="1363"/>
        <w:gridCol w:w="3882"/>
        <w:gridCol w:w="1362"/>
      </w:tblGrid>
      <w:tr>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tblPrEx>
          <w:tblCellMar>
            <w:top w:w="0" w:type="dxa"/>
            <w:left w:w="108" w:type="dxa"/>
            <w:bottom w:w="0" w:type="dxa"/>
            <w:right w:w="108" w:type="dxa"/>
          </w:tblCellMar>
        </w:tblPrEx>
        <w:trPr>
          <w:trHeight w:val="9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pPr>
              <w:jc w:val="right"/>
              <w:rPr>
                <w:rFonts w:hint="eastAsia" w:ascii="宋体" w:hAnsi="宋体" w:eastAsia="宋体"/>
                <w:sz w:val="18"/>
                <w:szCs w:val="18"/>
                <w:lang w:eastAsia="zh-CN"/>
              </w:rPr>
            </w:pPr>
            <w:r>
              <w:rPr>
                <w:rFonts w:hint="eastAsia" w:ascii="宋体" w:hAnsi="宋体"/>
                <w:sz w:val="18"/>
                <w:szCs w:val="18"/>
                <w:lang w:eastAsia="zh-CN"/>
              </w:rPr>
              <w:t>110.08</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pPr>
              <w:jc w:val="right"/>
              <w:rPr>
                <w:rFonts w:hint="eastAsia" w:ascii="宋体" w:hAnsi="宋体" w:eastAsia="宋体"/>
                <w:sz w:val="18"/>
                <w:szCs w:val="18"/>
                <w:lang w:eastAsia="zh-CN"/>
              </w:rPr>
            </w:pPr>
            <w:r>
              <w:rPr>
                <w:rFonts w:hint="eastAsia" w:ascii="宋体" w:hAnsi="宋体"/>
                <w:sz w:val="18"/>
                <w:szCs w:val="18"/>
                <w:lang w:eastAsia="zh-CN"/>
              </w:rPr>
              <w:t>110.08</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pPr>
              <w:jc w:val="right"/>
              <w:rPr>
                <w:rFonts w:hint="eastAsia" w:ascii="宋体" w:hAnsi="宋体" w:eastAsia="宋体"/>
                <w:sz w:val="18"/>
                <w:szCs w:val="18"/>
                <w:lang w:eastAsia="zh-CN"/>
              </w:rPr>
            </w:pPr>
            <w:r>
              <w:rPr>
                <w:rFonts w:hint="eastAsia" w:ascii="宋体" w:hAnsi="宋体"/>
                <w:sz w:val="18"/>
                <w:szCs w:val="18"/>
                <w:lang w:eastAsia="zh-CN"/>
              </w:rPr>
              <w:t>1</w:t>
            </w:r>
            <w:r>
              <w:rPr>
                <w:rFonts w:hint="eastAsia" w:ascii="宋体" w:hAnsi="宋体"/>
                <w:sz w:val="18"/>
                <w:szCs w:val="18"/>
                <w:lang w:val="en-US" w:eastAsia="zh-CN"/>
              </w:rPr>
              <w:t>09</w:t>
            </w:r>
            <w:r>
              <w:rPr>
                <w:rFonts w:hint="eastAsia" w:ascii="宋体" w:hAnsi="宋体"/>
                <w:sz w:val="18"/>
                <w:szCs w:val="18"/>
                <w:lang w:eastAsia="zh-CN"/>
              </w:rPr>
              <w:t>.08</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pPr>
              <w:jc w:val="right"/>
              <w:rPr>
                <w:rFonts w:hint="eastAsia" w:ascii="宋体" w:hAnsi="宋体" w:eastAsia="宋体"/>
                <w:sz w:val="18"/>
                <w:szCs w:val="18"/>
                <w:lang w:val="en-US" w:eastAsia="zh-CN"/>
              </w:rPr>
            </w:pPr>
            <w:r>
              <w:rPr>
                <w:rFonts w:hint="eastAsia" w:ascii="宋体" w:hAnsi="宋体"/>
                <w:sz w:val="18"/>
                <w:szCs w:val="18"/>
                <w:lang w:val="en-US" w:eastAsia="zh-CN"/>
              </w:rPr>
              <w:t>1</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pPr>
              <w:widowControl/>
              <w:jc w:val="right"/>
              <w:rPr>
                <w:rFonts w:hint="eastAsia" w:ascii="宋体" w:hAnsi="宋体" w:eastAsia="宋体" w:cs="Arial"/>
                <w:b/>
                <w:color w:val="000000"/>
                <w:kern w:val="0"/>
                <w:sz w:val="18"/>
                <w:szCs w:val="18"/>
                <w:lang w:eastAsia="zh-CN"/>
              </w:rPr>
            </w:pPr>
            <w:r>
              <w:rPr>
                <w:rFonts w:hint="eastAsia" w:ascii="宋体" w:hAnsi="宋体"/>
                <w:sz w:val="18"/>
                <w:szCs w:val="18"/>
                <w:lang w:eastAsia="zh-CN"/>
              </w:rPr>
              <w:t>110.08</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Arial"/>
                <w:b/>
                <w:color w:val="000000"/>
                <w:kern w:val="0"/>
                <w:sz w:val="18"/>
                <w:szCs w:val="18"/>
                <w:lang w:eastAsia="zh-CN"/>
              </w:rPr>
            </w:pPr>
            <w:r>
              <w:rPr>
                <w:rFonts w:hint="eastAsia" w:ascii="宋体" w:hAnsi="宋体"/>
                <w:sz w:val="18"/>
                <w:szCs w:val="18"/>
                <w:lang w:eastAsia="zh-CN"/>
              </w:rPr>
              <w:t>110.08</w:t>
            </w:r>
          </w:p>
        </w:tc>
      </w:tr>
    </w:tbl>
    <w:p>
      <w:pPr>
        <w:widowControl/>
        <w:spacing w:line="560" w:lineRule="exact"/>
        <w:ind w:firstLine="360" w:firstLineChars="200"/>
        <w:jc w:val="left"/>
        <w:rPr>
          <w:rFonts w:ascii="宋体" w:hAnsi="宋体" w:cs="Arial"/>
          <w:bCs/>
          <w:color w:val="000000"/>
          <w:kern w:val="0"/>
          <w:sz w:val="18"/>
          <w:szCs w:val="18"/>
        </w:rPr>
      </w:pPr>
      <w:r>
        <w:rPr>
          <w:rFonts w:hint="eastAsia" w:ascii="宋体" w:hAnsi="宋体" w:cs="Arial"/>
          <w:bCs/>
          <w:color w:val="000000"/>
          <w:kern w:val="0"/>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784"/>
        </w:tabs>
        <w:rPr>
          <w:rFonts w:ascii="仿宋_GB2312" w:hAnsi="微软雅黑" w:eastAsia="仿宋_GB2312"/>
          <w:sz w:val="18"/>
          <w:szCs w:val="18"/>
        </w:rPr>
      </w:pPr>
    </w:p>
    <w:p>
      <w:pPr>
        <w:tabs>
          <w:tab w:val="left" w:pos="2784"/>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tblPrEx>
          <w:tblCellMar>
            <w:top w:w="0" w:type="dxa"/>
            <w:left w:w="108" w:type="dxa"/>
            <w:bottom w:w="0" w:type="dxa"/>
            <w:right w:w="108" w:type="dxa"/>
          </w:tblCellMar>
        </w:tblPrEx>
        <w:trPr>
          <w:trHeight w:val="20" w:hRule="atLeast"/>
          <w:tblHeader/>
          <w:jc w:val="center"/>
        </w:trPr>
        <w:tc>
          <w:tcPr>
            <w:tcW w:w="390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16"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tblPrEx>
          <w:tblCellMar>
            <w:top w:w="0" w:type="dxa"/>
            <w:left w:w="108" w:type="dxa"/>
            <w:bottom w:w="0" w:type="dxa"/>
            <w:right w:w="108" w:type="dxa"/>
          </w:tblCellMar>
        </w:tblPrEx>
        <w:trPr>
          <w:trHeight w:val="20" w:hRule="atLeast"/>
          <w:tblHeader/>
          <w:jc w:val="center"/>
        </w:trPr>
        <w:tc>
          <w:tcPr>
            <w:tcW w:w="39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390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r>
      <w:tr>
        <w:tblPrEx>
          <w:tblCellMar>
            <w:top w:w="0" w:type="dxa"/>
            <w:left w:w="108" w:type="dxa"/>
            <w:bottom w:w="0" w:type="dxa"/>
            <w:right w:w="108" w:type="dxa"/>
          </w:tblCellMar>
        </w:tblPrEx>
        <w:trPr>
          <w:trHeight w:val="20" w:hRule="atLeast"/>
          <w:jc w:val="center"/>
        </w:trPr>
        <w:tc>
          <w:tcPr>
            <w:tcW w:w="3905" w:type="dxa"/>
            <w:tcBorders>
              <w:top w:val="single" w:color="000000" w:sz="4" w:space="0"/>
              <w:left w:val="nil"/>
              <w:bottom w:val="single" w:color="auto" w:sz="4" w:space="0"/>
              <w:right w:val="single" w:color="auto" w:sz="4" w:space="0"/>
            </w:tcBorders>
            <w:shd w:val="clear" w:color="FFFFFF" w:fill="FFFFFF"/>
            <w:noWrap/>
          </w:tcPr>
          <w:p>
            <w:pPr>
              <w:rPr>
                <w:rFonts w:ascii="宋体" w:hAnsi="宋体"/>
                <w:sz w:val="18"/>
                <w:szCs w:val="18"/>
              </w:rPr>
            </w:pPr>
            <w:r>
              <w:rPr>
                <w:rFonts w:ascii="宋体" w:hAnsi="宋体"/>
                <w:b/>
                <w:sz w:val="18"/>
                <w:szCs w:val="18"/>
              </w:rPr>
              <w:t>总计</w:t>
            </w:r>
          </w:p>
        </w:tc>
        <w:tc>
          <w:tcPr>
            <w:tcW w:w="106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r>
              <w:rPr>
                <w:rFonts w:hint="eastAsia" w:ascii="宋体" w:hAnsi="宋体"/>
                <w:sz w:val="18"/>
                <w:szCs w:val="18"/>
              </w:rPr>
              <w:t>……</w:t>
            </w: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000000"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nil"/>
            </w:tcBorders>
            <w:shd w:val="clear" w:color="FFFFFF" w:fill="FFFFFF"/>
            <w:noWrap/>
            <w:tcMar>
              <w:left w:w="0" w:type="dxa"/>
              <w:right w:w="28" w:type="dxa"/>
            </w:tcMar>
          </w:tcPr>
          <w:p>
            <w:pPr>
              <w:jc w:val="right"/>
              <w:rPr>
                <w:rFonts w:ascii="宋体" w:hAnsi="宋体" w:cs="Arial"/>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3936"/>
        </w:tabs>
        <w:rPr>
          <w:rFonts w:ascii="仿宋_GB2312" w:hAnsi="微软雅黑" w:eastAsia="仿宋_GB2312"/>
          <w:sz w:val="18"/>
          <w:szCs w:val="18"/>
        </w:rPr>
      </w:pPr>
      <w:r>
        <w:rPr>
          <w:rFonts w:ascii="仿宋_GB2312" w:hAnsi="微软雅黑" w:eastAsia="仿宋_GB2312"/>
          <w:sz w:val="18"/>
          <w:szCs w:val="18"/>
        </w:rPr>
        <w:tab/>
      </w:r>
    </w:p>
    <w:p>
      <w:pPr>
        <w:tabs>
          <w:tab w:val="left" w:pos="3936"/>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9591" w:type="dxa"/>
        <w:jc w:val="center"/>
        <w:tblLayout w:type="autofit"/>
        <w:tblCellMar>
          <w:top w:w="0" w:type="dxa"/>
          <w:left w:w="108" w:type="dxa"/>
          <w:bottom w:w="0" w:type="dxa"/>
          <w:right w:w="108" w:type="dxa"/>
        </w:tblCellMar>
      </w:tblPr>
      <w:tblGrid>
        <w:gridCol w:w="1074"/>
        <w:gridCol w:w="4253"/>
        <w:gridCol w:w="1417"/>
        <w:gridCol w:w="1418"/>
        <w:gridCol w:w="1429"/>
      </w:tblGrid>
      <w:tr>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4264"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hint="eastAsia" w:ascii="宋体" w:hAnsi="宋体"/>
                <w:sz w:val="18"/>
                <w:szCs w:val="18"/>
              </w:rPr>
              <w:t>……</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hint="eastAsia" w:ascii="宋体" w:hAnsi="宋体"/>
                <w:sz w:val="18"/>
                <w:szCs w:val="18"/>
              </w:rPr>
              <w:t>……</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472"/>
        </w:tabs>
        <w:rPr>
          <w:rFonts w:ascii="仿宋_GB2312" w:hAnsi="微软雅黑" w:eastAsia="仿宋_GB2312"/>
          <w:sz w:val="18"/>
          <w:szCs w:val="18"/>
        </w:rPr>
      </w:pPr>
      <w:r>
        <w:rPr>
          <w:rFonts w:ascii="仿宋_GB2312" w:hAnsi="微软雅黑" w:eastAsia="仿宋_GB2312"/>
          <w:sz w:val="18"/>
          <w:szCs w:val="18"/>
        </w:rPr>
        <w:tab/>
      </w:r>
    </w:p>
    <w:p>
      <w:pPr>
        <w:tabs>
          <w:tab w:val="left" w:pos="24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9405" w:type="dxa"/>
        <w:jc w:val="center"/>
        <w:tblLayout w:type="autofit"/>
        <w:tblCellMar>
          <w:top w:w="0" w:type="dxa"/>
          <w:left w:w="108" w:type="dxa"/>
          <w:bottom w:w="0" w:type="dxa"/>
          <w:right w:w="108" w:type="dxa"/>
        </w:tblCellMar>
      </w:tblPr>
      <w:tblGrid>
        <w:gridCol w:w="948"/>
        <w:gridCol w:w="4252"/>
        <w:gridCol w:w="1559"/>
        <w:gridCol w:w="1418"/>
        <w:gridCol w:w="1228"/>
      </w:tblGrid>
      <w:tr>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经济分类科目</w:t>
            </w:r>
          </w:p>
        </w:tc>
        <w:tc>
          <w:tcPr>
            <w:tcW w:w="4205"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hint="eastAsia" w:ascii="宋体" w:hAnsi="宋体"/>
                <w:b/>
                <w:sz w:val="18"/>
                <w:szCs w:val="18"/>
              </w:rPr>
              <w:t>……</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hint="eastAsia" w:ascii="宋体" w:hAnsi="宋体"/>
                <w:b/>
                <w:sz w:val="18"/>
                <w:szCs w:val="18"/>
              </w:rPr>
              <w:t>……</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512"/>
        </w:tabs>
        <w:rPr>
          <w:rFonts w:ascii="宋体" w:hAnsi="宋体"/>
          <w:sz w:val="18"/>
          <w:szCs w:val="18"/>
        </w:rPr>
      </w:pPr>
      <w:r>
        <w:rPr>
          <w:rFonts w:ascii="宋体" w:hAnsi="宋体"/>
          <w:sz w:val="18"/>
          <w:szCs w:val="18"/>
        </w:rPr>
        <w:tab/>
      </w:r>
    </w:p>
    <w:p>
      <w:pPr>
        <w:tabs>
          <w:tab w:val="left" w:pos="151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表八、一般公共预算</w:t>
      </w:r>
      <w:r>
        <w:rPr>
          <w:rFonts w:hint="eastAsia" w:ascii="仿宋_GB2312" w:hAnsi="宋体" w:eastAsia="仿宋_GB2312" w:cs="宋体"/>
          <w:bCs/>
          <w:kern w:val="0"/>
          <w:sz w:val="32"/>
          <w:szCs w:val="32"/>
        </w:rPr>
        <w:t>财政拨款</w:t>
      </w:r>
      <w:r>
        <w:rPr>
          <w:rFonts w:hint="eastAsia" w:ascii="仿宋_GB2312" w:hAnsi="宋体" w:eastAsia="仿宋_GB2312" w:cs="宋体"/>
          <w:kern w:val="0"/>
          <w:sz w:val="32"/>
          <w:szCs w:val="32"/>
        </w:rPr>
        <w:t>“三公”经费、会议费、培训费支出情况表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公务用车购置和运行费</w:t>
            </w:r>
          </w:p>
        </w:tc>
        <w:tc>
          <w:tcPr>
            <w:tcW w:w="1265" w:type="dxa"/>
            <w:vMerge w:val="continue"/>
            <w:tcBorders>
              <w:left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公务用车购置费</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公务用车运行费</w:t>
            </w:r>
          </w:p>
        </w:tc>
        <w:tc>
          <w:tcPr>
            <w:tcW w:w="126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tblPrEx>
          <w:tblCellMar>
            <w:top w:w="0" w:type="dxa"/>
            <w:left w:w="108" w:type="dxa"/>
            <w:bottom w:w="0" w:type="dxa"/>
            <w:right w:w="108" w:type="dxa"/>
          </w:tblCellMar>
        </w:tblPrEx>
        <w:trPr>
          <w:trHeight w:val="20" w:hRule="atLeast"/>
          <w:jc w:val="center"/>
        </w:trPr>
        <w:tc>
          <w:tcPr>
            <w:tcW w:w="5125" w:type="dxa"/>
            <w:tcBorders>
              <w:top w:val="single" w:color="000000" w:sz="4" w:space="0"/>
              <w:left w:val="nil"/>
              <w:bottom w:val="single" w:color="auto" w:sz="4" w:space="0"/>
              <w:right w:val="single" w:color="auto" w:sz="4" w:space="0"/>
            </w:tcBorders>
            <w:shd w:val="clear" w:color="CCCCFF" w:fill="FFFFFF"/>
            <w:noWrap/>
          </w:tcPr>
          <w:p>
            <w:pPr>
              <w:rPr>
                <w:rFonts w:ascii="宋体" w:hAnsi="宋体"/>
                <w:sz w:val="18"/>
                <w:szCs w:val="18"/>
              </w:rPr>
            </w:pPr>
            <w:r>
              <w:rPr>
                <w:rFonts w:ascii="宋体" w:hAnsi="宋体"/>
                <w:b/>
                <w:sz w:val="18"/>
                <w:szCs w:val="18"/>
              </w:rPr>
              <w:t>总计</w:t>
            </w:r>
          </w:p>
        </w:tc>
        <w:tc>
          <w:tcPr>
            <w:tcW w:w="1358"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000000"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r>
              <w:rPr>
                <w:rFonts w:hint="eastAsia" w:ascii="宋体" w:hAnsi="宋体"/>
                <w:sz w:val="18"/>
                <w:szCs w:val="18"/>
              </w:rPr>
              <w:t>……</w:t>
            </w: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000000"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nil"/>
            </w:tcBorders>
            <w:shd w:val="clear" w:color="CCCCFF" w:fill="FFFFFF"/>
          </w:tcPr>
          <w:p>
            <w:pPr>
              <w:jc w:val="right"/>
              <w:rPr>
                <w:rFonts w:ascii="宋体" w:hAnsi="宋体"/>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812"/>
        </w:tabs>
        <w:rPr>
          <w:rFonts w:ascii="仿宋_GB2312" w:hAnsi="微软雅黑" w:eastAsia="仿宋_GB2312"/>
          <w:sz w:val="18"/>
          <w:szCs w:val="18"/>
        </w:rPr>
      </w:pPr>
      <w:r>
        <w:rPr>
          <w:rFonts w:ascii="仿宋_GB2312" w:hAnsi="微软雅黑" w:eastAsia="仿宋_GB2312"/>
          <w:sz w:val="18"/>
          <w:szCs w:val="18"/>
        </w:rPr>
        <w:tab/>
      </w:r>
    </w:p>
    <w:p>
      <w:pPr>
        <w:tabs>
          <w:tab w:val="left" w:pos="1812"/>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表九、一般公共预算财政拨款机关运行经费表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、国有资本经营预算支出情况表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单位整体支出绩效目标表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8740" w:type="dxa"/>
        <w:jc w:val="center"/>
        <w:tblLayout w:type="fixed"/>
        <w:tblCellMar>
          <w:top w:w="0" w:type="dxa"/>
          <w:left w:w="108" w:type="dxa"/>
          <w:bottom w:w="0" w:type="dxa"/>
          <w:right w:w="108" w:type="dxa"/>
        </w:tblCellMar>
      </w:tblPr>
      <w:tblGrid>
        <w:gridCol w:w="639"/>
        <w:gridCol w:w="1625"/>
        <w:gridCol w:w="846"/>
        <w:gridCol w:w="817"/>
        <w:gridCol w:w="1936"/>
        <w:gridCol w:w="1339"/>
        <w:gridCol w:w="1538"/>
      </w:tblGrid>
      <w:tr>
        <w:tblPrEx>
          <w:tblCellMar>
            <w:top w:w="0" w:type="dxa"/>
            <w:left w:w="108" w:type="dxa"/>
            <w:bottom w:w="0" w:type="dxa"/>
            <w:right w:w="108" w:type="dxa"/>
          </w:tblCellMar>
        </w:tblPrEx>
        <w:trPr>
          <w:cantSplit/>
          <w:trHeight w:val="20" w:hRule="atLeast"/>
          <w:jc w:val="center"/>
        </w:trPr>
        <w:tc>
          <w:tcPr>
            <w:tcW w:w="3110" w:type="dxa"/>
            <w:gridSpan w:val="3"/>
            <w:tcBorders>
              <w:top w:val="single" w:color="000000" w:sz="6" w:space="0"/>
              <w:left w:val="nil"/>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部门（单位）名称</w:t>
            </w:r>
          </w:p>
        </w:tc>
        <w:tc>
          <w:tcPr>
            <w:tcW w:w="5630" w:type="dxa"/>
            <w:gridSpan w:val="4"/>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中国共产主义青年团积石山县委员会</w:t>
            </w:r>
          </w:p>
        </w:tc>
      </w:tr>
      <w:tr>
        <w:tblPrEx>
          <w:tblCellMar>
            <w:top w:w="0" w:type="dxa"/>
            <w:left w:w="108" w:type="dxa"/>
            <w:bottom w:w="0" w:type="dxa"/>
            <w:right w:w="108" w:type="dxa"/>
          </w:tblCellMar>
        </w:tblPrEx>
        <w:trPr>
          <w:cantSplit/>
          <w:trHeight w:val="1866" w:hRule="atLeast"/>
          <w:jc w:val="center"/>
        </w:trPr>
        <w:tc>
          <w:tcPr>
            <w:tcW w:w="639" w:type="dxa"/>
            <w:tcBorders>
              <w:top w:val="single" w:color="000000" w:sz="6" w:space="0"/>
              <w:left w:val="nil"/>
              <w:bottom w:val="single" w:color="000000" w:sz="6" w:space="0"/>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总 体 目 标</w:t>
            </w:r>
          </w:p>
        </w:tc>
        <w:tc>
          <w:tcPr>
            <w:tcW w:w="8101" w:type="dxa"/>
            <w:gridSpan w:val="6"/>
            <w:tcBorders>
              <w:top w:val="single" w:color="000000" w:sz="6" w:space="0"/>
              <w:left w:val="single" w:color="000000" w:sz="6" w:space="0"/>
              <w:bottom w:val="single" w:color="000000" w:sz="6" w:space="0"/>
              <w:right w:val="nil"/>
              <w:tl2br w:val="nil"/>
              <w:tr2bl w:val="nil"/>
            </w:tcBorders>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目标1：加强团组织和队伍建设、团的外围组织建设，凝聚团员青少年。</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目标2：指导各级团组织抓好青少年的思想教育，及时树立典型，总结和推广先进经验。</w:t>
            </w:r>
          </w:p>
          <w:p>
            <w:pPr>
              <w:widowControl/>
              <w:spacing w:line="360" w:lineRule="exact"/>
              <w:jc w:val="left"/>
              <w:rPr>
                <w:rFonts w:hint="eastAsia" w:asciiTheme="minorEastAsia" w:hAnsiTheme="minorEastAsia" w:eastAsiaTheme="minorEastAsia"/>
                <w:color w:val="000000"/>
                <w:sz w:val="18"/>
                <w:szCs w:val="18"/>
                <w:lang w:eastAsia="zh-CN"/>
              </w:rPr>
            </w:pP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 算 情 况（万元）</w:t>
            </w:r>
          </w:p>
        </w:tc>
        <w:tc>
          <w:tcPr>
            <w:tcW w:w="3288" w:type="dxa"/>
            <w:gridSpan w:val="3"/>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按支出类型分</w:t>
            </w:r>
          </w:p>
        </w:tc>
        <w:tc>
          <w:tcPr>
            <w:tcW w:w="1936"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c>
          <w:tcPr>
            <w:tcW w:w="1339"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按来源类型分</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基本支出</w:t>
            </w: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人员经费</w:t>
            </w:r>
          </w:p>
        </w:tc>
        <w:tc>
          <w:tcPr>
            <w:tcW w:w="1936"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910254.81</w:t>
            </w:r>
          </w:p>
        </w:tc>
        <w:tc>
          <w:tcPr>
            <w:tcW w:w="1339"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当年财政拨款</w:t>
            </w:r>
          </w:p>
        </w:tc>
        <w:tc>
          <w:tcPr>
            <w:tcW w:w="1538" w:type="dxa"/>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公用经费</w:t>
            </w:r>
          </w:p>
        </w:tc>
        <w:tc>
          <w:tcPr>
            <w:tcW w:w="1936"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lang w:val="en-US" w:eastAsia="zh-CN"/>
              </w:rPr>
              <w:t>8</w:t>
            </w:r>
            <w:r>
              <w:rPr>
                <w:rFonts w:hint="eastAsia" w:asciiTheme="minorEastAsia" w:hAnsiTheme="minorEastAsia" w:eastAsiaTheme="minorEastAsia"/>
                <w:color w:val="000000"/>
                <w:sz w:val="18"/>
                <w:szCs w:val="18"/>
              </w:rPr>
              <w:t>0618.6</w:t>
            </w:r>
          </w:p>
        </w:tc>
        <w:tc>
          <w:tcPr>
            <w:tcW w:w="1339"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上年结转资金</w:t>
            </w:r>
          </w:p>
        </w:tc>
        <w:tc>
          <w:tcPr>
            <w:tcW w:w="1538" w:type="dxa"/>
            <w:tcBorders>
              <w:top w:val="single" w:color="000000" w:sz="6" w:space="0"/>
              <w:left w:val="single" w:color="000000" w:sz="6" w:space="0"/>
              <w:bottom w:val="single" w:color="000000" w:sz="6" w:space="0"/>
              <w:right w:val="nil"/>
            </w:tcBorders>
            <w:vAlign w:val="center"/>
          </w:tcPr>
          <w:p>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10000</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合计</w:t>
            </w:r>
          </w:p>
        </w:tc>
        <w:tc>
          <w:tcPr>
            <w:tcW w:w="1936"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lang w:val="en-US" w:eastAsia="zh-CN"/>
              </w:rPr>
              <w:t>10</w:t>
            </w:r>
            <w:r>
              <w:rPr>
                <w:rFonts w:hint="eastAsia" w:asciiTheme="minorEastAsia" w:hAnsiTheme="minorEastAsia" w:eastAsiaTheme="minorEastAsia"/>
                <w:color w:val="000000"/>
                <w:sz w:val="18"/>
                <w:szCs w:val="18"/>
              </w:rPr>
              <w:t>0873.41</w:t>
            </w:r>
          </w:p>
        </w:tc>
        <w:tc>
          <w:tcPr>
            <w:tcW w:w="1339"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其他资金</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项目支出</w:t>
            </w:r>
          </w:p>
        </w:tc>
        <w:tc>
          <w:tcPr>
            <w:tcW w:w="1936"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339"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收入预算合计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lang w:val="en-US" w:eastAsia="zh-CN"/>
              </w:rPr>
              <w:t>10</w:t>
            </w:r>
            <w:r>
              <w:rPr>
                <w:rFonts w:hint="eastAsia" w:asciiTheme="minorEastAsia" w:hAnsiTheme="minorEastAsia" w:eastAsiaTheme="minorEastAsia"/>
                <w:color w:val="000000"/>
                <w:sz w:val="18"/>
                <w:szCs w:val="18"/>
              </w:rPr>
              <w:t>0873.41</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936"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339"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支出预算合计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lang w:val="en-US" w:eastAsia="zh-CN"/>
              </w:rPr>
              <w:t>10</w:t>
            </w:r>
            <w:r>
              <w:rPr>
                <w:rFonts w:hint="eastAsia" w:asciiTheme="minorEastAsia" w:hAnsiTheme="minorEastAsia" w:eastAsiaTheme="minorEastAsia"/>
                <w:color w:val="000000"/>
                <w:sz w:val="18"/>
                <w:szCs w:val="18"/>
              </w:rPr>
              <w:t>0873.41</w:t>
            </w: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cBorders>
            <w:textDirection w:val="tbLrV"/>
            <w:vAlign w:val="center"/>
          </w:tcPr>
          <w:p>
            <w:pPr>
              <w:ind w:left="113" w:right="113"/>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bCs/>
                <w:kern w:val="0"/>
                <w:sz w:val="18"/>
                <w:szCs w:val="18"/>
              </w:rPr>
              <w:t>绩 效 指 标</w:t>
            </w:r>
          </w:p>
        </w:tc>
        <w:tc>
          <w:tcPr>
            <w:tcW w:w="1625"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一级指标</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二级指标</w:t>
            </w:r>
          </w:p>
        </w:tc>
        <w:tc>
          <w:tcPr>
            <w:tcW w:w="1936"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三级指标</w:t>
            </w:r>
          </w:p>
        </w:tc>
        <w:tc>
          <w:tcPr>
            <w:tcW w:w="2877"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指标值</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部门管理</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rPr>
              <w:t>资金投入</w:t>
            </w:r>
          </w:p>
        </w:tc>
        <w:tc>
          <w:tcPr>
            <w:tcW w:w="1936"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基本支出预算执行率</w:t>
            </w:r>
          </w:p>
        </w:tc>
        <w:tc>
          <w:tcPr>
            <w:tcW w:w="2877"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财务管理</w:t>
            </w:r>
          </w:p>
        </w:tc>
        <w:tc>
          <w:tcPr>
            <w:tcW w:w="1936"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资金使用规范性</w:t>
            </w:r>
          </w:p>
        </w:tc>
        <w:tc>
          <w:tcPr>
            <w:tcW w:w="2877" w:type="dxa"/>
            <w:gridSpan w:val="2"/>
            <w:tcBorders>
              <w:top w:val="single" w:color="000000" w:sz="6" w:space="0"/>
              <w:left w:val="single" w:color="000000" w:sz="6" w:space="0"/>
              <w:bottom w:val="single" w:color="000000" w:sz="6" w:space="0"/>
              <w:right w:val="nil"/>
            </w:tcBorders>
            <w:vAlign w:val="center"/>
          </w:tcPr>
          <w:p>
            <w:pPr>
              <w:jc w:val="center"/>
              <w:rPr>
                <w:rFonts w:hint="eastAsia" w:asciiTheme="minorEastAsia" w:hAnsiTheme="minorEastAsia" w:eastAsiaTheme="minorEastAsia"/>
                <w:bCs/>
                <w:color w:val="000000"/>
                <w:sz w:val="18"/>
                <w:szCs w:val="18"/>
                <w:lang w:val="en-US" w:eastAsia="zh-CN"/>
              </w:rPr>
            </w:pPr>
            <w:r>
              <w:rPr>
                <w:rFonts w:hint="eastAsia" w:asciiTheme="minorEastAsia" w:hAnsiTheme="minorEastAsia" w:eastAsiaTheme="minorEastAsia"/>
                <w:bCs/>
                <w:color w:val="000000"/>
                <w:sz w:val="18"/>
                <w:szCs w:val="18"/>
                <w:lang w:val="en-US" w:eastAsia="zh-CN"/>
              </w:rPr>
              <w:t>规范</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重点工作管理</w:t>
            </w:r>
          </w:p>
        </w:tc>
        <w:tc>
          <w:tcPr>
            <w:tcW w:w="1936"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重点工作管理制度健全性</w:t>
            </w:r>
          </w:p>
        </w:tc>
        <w:tc>
          <w:tcPr>
            <w:tcW w:w="2877" w:type="dxa"/>
            <w:gridSpan w:val="2"/>
            <w:tcBorders>
              <w:top w:val="single" w:color="000000" w:sz="6" w:space="0"/>
              <w:left w:val="single" w:color="000000" w:sz="6" w:space="0"/>
              <w:bottom w:val="single" w:color="000000" w:sz="6" w:space="0"/>
              <w:right w:val="nil"/>
            </w:tcBorders>
            <w:vAlign w:val="center"/>
          </w:tcPr>
          <w:p>
            <w:pPr>
              <w:jc w:val="center"/>
              <w:rPr>
                <w:rFonts w:hint="eastAsia" w:asciiTheme="minorEastAsia" w:hAnsiTheme="minorEastAsia" w:eastAsiaTheme="minorEastAsia"/>
                <w:bCs/>
                <w:color w:val="000000"/>
                <w:sz w:val="18"/>
                <w:szCs w:val="18"/>
                <w:lang w:val="en-US" w:eastAsia="zh-CN"/>
              </w:rPr>
            </w:pPr>
            <w:r>
              <w:rPr>
                <w:rFonts w:hint="eastAsia" w:asciiTheme="minorEastAsia" w:hAnsiTheme="minorEastAsia" w:eastAsiaTheme="minorEastAsia"/>
                <w:bCs/>
                <w:color w:val="000000"/>
                <w:sz w:val="18"/>
                <w:szCs w:val="18"/>
                <w:lang w:val="en-US" w:eastAsia="zh-CN"/>
              </w:rPr>
              <w:t>健全</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履职效果</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cs="Times New Roman" w:asciiTheme="minorEastAsia" w:hAnsiTheme="minorEastAsia" w:eastAsiaTheme="minorEastAsia"/>
                <w:bCs/>
                <w:color w:val="000000"/>
                <w:kern w:val="2"/>
                <w:sz w:val="18"/>
                <w:szCs w:val="18"/>
                <w:lang w:val="en-US" w:eastAsia="zh-CN" w:bidi="ar-SA"/>
              </w:rPr>
            </w:pPr>
            <w:r>
              <w:rPr>
                <w:rFonts w:hint="eastAsia" w:asciiTheme="minorEastAsia" w:hAnsiTheme="minorEastAsia" w:eastAsiaTheme="minorEastAsia"/>
                <w:bCs/>
                <w:color w:val="000000"/>
                <w:sz w:val="18"/>
                <w:szCs w:val="18"/>
              </w:rPr>
              <w:t>部门履职目标</w:t>
            </w:r>
          </w:p>
        </w:tc>
        <w:tc>
          <w:tcPr>
            <w:tcW w:w="1936"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加强组织队伍思想建设，凝聚团员青年</w:t>
            </w:r>
          </w:p>
        </w:tc>
        <w:tc>
          <w:tcPr>
            <w:tcW w:w="2877"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1万人</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cs="Times New Roman" w:asciiTheme="minorEastAsia" w:hAnsiTheme="minorEastAsia" w:eastAsiaTheme="minorEastAsia"/>
                <w:bCs/>
                <w:color w:val="000000"/>
                <w:kern w:val="2"/>
                <w:sz w:val="18"/>
                <w:szCs w:val="18"/>
                <w:lang w:val="en-US" w:eastAsia="zh-CN" w:bidi="ar-SA"/>
              </w:rPr>
            </w:pPr>
            <w:r>
              <w:rPr>
                <w:rFonts w:hint="eastAsia" w:asciiTheme="minorEastAsia" w:hAnsiTheme="minorEastAsia" w:eastAsiaTheme="minorEastAsia"/>
                <w:bCs/>
                <w:color w:val="000000"/>
                <w:sz w:val="18"/>
                <w:szCs w:val="18"/>
              </w:rPr>
              <w:t>部门效果目标</w:t>
            </w:r>
          </w:p>
        </w:tc>
        <w:tc>
          <w:tcPr>
            <w:tcW w:w="1936"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团干部和团员教育培训</w:t>
            </w:r>
          </w:p>
        </w:tc>
        <w:tc>
          <w:tcPr>
            <w:tcW w:w="2877" w:type="dxa"/>
            <w:gridSpan w:val="2"/>
            <w:tcBorders>
              <w:top w:val="single" w:color="000000" w:sz="6" w:space="0"/>
              <w:left w:val="single" w:color="000000" w:sz="6" w:space="0"/>
              <w:bottom w:val="single" w:color="000000" w:sz="6" w:space="0"/>
              <w:right w:val="nil"/>
            </w:tcBorders>
            <w:vAlign w:val="center"/>
          </w:tcPr>
          <w:p>
            <w:pPr>
              <w:jc w:val="center"/>
              <w:rPr>
                <w:rFonts w:hint="default" w:asciiTheme="minorEastAsia" w:hAnsiTheme="minorEastAsia" w:eastAsiaTheme="minorEastAsia"/>
                <w:bCs/>
                <w:color w:val="000000"/>
                <w:sz w:val="18"/>
                <w:szCs w:val="18"/>
                <w:lang w:val="en-US" w:eastAsia="zh-CN"/>
              </w:rPr>
            </w:pPr>
            <w:r>
              <w:rPr>
                <w:rFonts w:hint="eastAsia" w:asciiTheme="minorEastAsia" w:hAnsiTheme="minorEastAsia" w:eastAsiaTheme="minorEastAsia"/>
                <w:bCs/>
                <w:color w:val="000000"/>
                <w:sz w:val="18"/>
                <w:szCs w:val="18"/>
                <w:lang w:val="en-US" w:eastAsia="zh-CN"/>
              </w:rPr>
              <w:t>100人</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cs="Times New Roman" w:asciiTheme="minorEastAsia" w:hAnsiTheme="minorEastAsia" w:eastAsiaTheme="minorEastAsia"/>
                <w:bCs/>
                <w:color w:val="000000"/>
                <w:kern w:val="2"/>
                <w:sz w:val="18"/>
                <w:szCs w:val="18"/>
                <w:lang w:val="en-US" w:eastAsia="zh-CN" w:bidi="ar-SA"/>
              </w:rPr>
            </w:pPr>
            <w:r>
              <w:rPr>
                <w:rFonts w:hint="eastAsia" w:asciiTheme="minorEastAsia" w:hAnsiTheme="minorEastAsia" w:eastAsiaTheme="minorEastAsia"/>
                <w:bCs/>
                <w:color w:val="000000"/>
                <w:sz w:val="18"/>
                <w:szCs w:val="18"/>
              </w:rPr>
              <w:t>社会影响</w:t>
            </w:r>
          </w:p>
        </w:tc>
        <w:tc>
          <w:tcPr>
            <w:tcW w:w="1936"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维护青少年合法权益，为青年发展、青少年成长提供良好环境</w:t>
            </w:r>
          </w:p>
        </w:tc>
        <w:tc>
          <w:tcPr>
            <w:tcW w:w="2877"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ab/>
            </w:r>
            <w:r>
              <w:rPr>
                <w:rFonts w:hint="eastAsia" w:asciiTheme="minorEastAsia" w:hAnsiTheme="minorEastAsia" w:eastAsiaTheme="minorEastAsia"/>
                <w:bCs/>
                <w:color w:val="000000"/>
                <w:sz w:val="18"/>
                <w:szCs w:val="18"/>
              </w:rPr>
              <w:t>效果明显</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能力建设</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rPr>
              <w:t>长效管理</w:t>
            </w:r>
          </w:p>
        </w:tc>
        <w:tc>
          <w:tcPr>
            <w:tcW w:w="1936"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定期召开青联联席会议</w:t>
            </w:r>
          </w:p>
        </w:tc>
        <w:tc>
          <w:tcPr>
            <w:tcW w:w="2877"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1次</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人力资源建设</w:t>
            </w:r>
          </w:p>
        </w:tc>
        <w:tc>
          <w:tcPr>
            <w:tcW w:w="1936"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团干部和团员教育培训</w:t>
            </w:r>
          </w:p>
        </w:tc>
        <w:tc>
          <w:tcPr>
            <w:tcW w:w="2877"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100人</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档案管理</w:t>
            </w:r>
          </w:p>
        </w:tc>
        <w:tc>
          <w:tcPr>
            <w:tcW w:w="1936"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档案管理完备性</w:t>
            </w:r>
          </w:p>
        </w:tc>
        <w:tc>
          <w:tcPr>
            <w:tcW w:w="2877" w:type="dxa"/>
            <w:gridSpan w:val="2"/>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规范</w:t>
            </w:r>
          </w:p>
        </w:tc>
      </w:tr>
    </w:tbl>
    <w:p/>
    <w:p>
      <w:pPr>
        <w:spacing w:line="560" w:lineRule="exact"/>
        <w:jc w:val="cente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48"/>
        <w:gridCol w:w="108"/>
        <w:gridCol w:w="2782"/>
        <w:gridCol w:w="544"/>
        <w:gridCol w:w="1497"/>
        <w:gridCol w:w="774"/>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2" w:type="pct"/>
            <w:gridSpan w:val="6"/>
            <w:vAlign w:val="center"/>
          </w:tcPr>
          <w:p>
            <w:pPr>
              <w:widowControl/>
              <w:spacing w:line="360" w:lineRule="exact"/>
              <w:jc w:val="center"/>
              <w:rPr>
                <w:rFonts w:cs="宋体" w:asciiTheme="minorEastAsia" w:hAnsiTheme="minorEastAsia" w:eastAsiaTheme="minorEastAsia"/>
                <w:kern w:val="0"/>
                <w:sz w:val="18"/>
                <w:szCs w:val="18"/>
              </w:rPr>
            </w:pPr>
            <w:r>
              <w:rPr>
                <w:rFonts w:hint="eastAsia"/>
              </w:rPr>
              <w:t>2023年青年之家示范建设项目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6" w:type="pct"/>
            <w:gridSpan w:val="3"/>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asciiTheme="minorEastAsia" w:hAnsiTheme="minorEastAsia" w:eastAsiaTheme="minorEastAsia"/>
                <w:color w:val="000000"/>
                <w:sz w:val="18"/>
                <w:szCs w:val="18"/>
              </w:rPr>
              <w:t>中国共产主义青年团积石山县委员会</w:t>
            </w:r>
            <w:r>
              <w:rPr>
                <w:rFonts w:hint="eastAsia" w:asciiTheme="minorEastAsia" w:hAnsiTheme="minorEastAsia" w:eastAsiaTheme="minorEastAsia"/>
                <w:color w:val="000000"/>
                <w:sz w:val="18"/>
                <w:szCs w:val="18"/>
                <w:lang w:val="en-US" w:eastAsia="zh-CN"/>
              </w:rPr>
              <w:t>111001</w:t>
            </w:r>
          </w:p>
        </w:tc>
        <w:tc>
          <w:tcPr>
            <w:tcW w:w="1088"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color w:val="000000"/>
                <w:sz w:val="18"/>
                <w:szCs w:val="18"/>
              </w:rPr>
              <w:t>中国共产主义青年团积石山县委员会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6" w:type="pct"/>
            <w:gridSpan w:val="3"/>
            <w:vAlign w:val="center"/>
          </w:tcPr>
          <w:p>
            <w:pPr>
              <w:widowControl/>
              <w:spacing w:line="360" w:lineRule="exact"/>
              <w:jc w:val="lef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rPr>
              <w:t>年度资金总额：</w:t>
            </w:r>
            <w:r>
              <w:rPr>
                <w:rFonts w:hint="eastAsia" w:cs="宋体" w:asciiTheme="minorEastAsia" w:hAnsiTheme="minorEastAsia" w:eastAsiaTheme="minorEastAsia"/>
                <w:kern w:val="0"/>
                <w:sz w:val="18"/>
                <w:szCs w:val="18"/>
                <w:lang w:val="en-US" w:eastAsia="zh-CN"/>
              </w:rPr>
              <w:t>10000元</w:t>
            </w:r>
          </w:p>
        </w:tc>
        <w:tc>
          <w:tcPr>
            <w:tcW w:w="2295"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5"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val="en-US" w:eastAsia="zh-CN"/>
              </w:rPr>
              <w:t>10000元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5"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val="en-US" w:eastAsia="zh-CN"/>
              </w:rPr>
              <w:t>10000元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5" w:type="pct"/>
            <w:gridSpan w:val="3"/>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4" w:type="pct"/>
            <w:gridSpan w:val="7"/>
            <w:vAlign w:val="center"/>
          </w:tcPr>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目标1：为青年发展、青少年成长提供良好环境。</w:t>
            </w:r>
          </w:p>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目标2：全面推进全县共青团事业发展。</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目标3：青少年受教育程度稳步提升，生存环境进一步优化，合法权益进一步得到保障。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794"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1333"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978"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577"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(50分)</w:t>
            </w:r>
          </w:p>
        </w:tc>
        <w:tc>
          <w:tcPr>
            <w:tcW w:w="1333" w:type="pct"/>
            <w:vAlign w:val="center"/>
          </w:tcPr>
          <w:p>
            <w:pPr>
              <w:keepNext w:val="0"/>
              <w:keepLines w:val="0"/>
              <w:widowControl/>
              <w:suppressLineNumbers w:val="0"/>
              <w:jc w:val="center"/>
              <w:textAlignment w:val="center"/>
              <w:rPr>
                <w:rFonts w:cs="宋体" w:asciiTheme="minorEastAsia" w:hAnsiTheme="minorEastAsia" w:eastAsiaTheme="minorEastAsia"/>
                <w:bCs/>
                <w:kern w:val="0"/>
                <w:sz w:val="18"/>
                <w:szCs w:val="18"/>
              </w:rPr>
            </w:pPr>
            <w:r>
              <w:rPr>
                <w:rFonts w:hint="eastAsia" w:ascii="宋体" w:hAnsi="宋体" w:eastAsia="宋体" w:cs="宋体"/>
                <w:i w:val="0"/>
                <w:iCs w:val="0"/>
                <w:color w:val="000000"/>
                <w:kern w:val="0"/>
                <w:sz w:val="20"/>
                <w:szCs w:val="20"/>
                <w:u w:val="none"/>
                <w:lang w:val="en-US" w:eastAsia="zh-CN" w:bidi="ar"/>
              </w:rPr>
              <w:t>数量指标</w:t>
            </w:r>
          </w:p>
        </w:tc>
        <w:tc>
          <w:tcPr>
            <w:tcW w:w="204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 xml:space="preserve"> 指标1：开展主题教育活功</w:t>
            </w:r>
          </w:p>
        </w:tc>
        <w:tc>
          <w:tcPr>
            <w:tcW w:w="329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≥5次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质量指标</w:t>
            </w:r>
          </w:p>
        </w:tc>
        <w:tc>
          <w:tcPr>
            <w:tcW w:w="204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 xml:space="preserve"> 指标2：每月开展特色志愿活动</w:t>
            </w:r>
          </w:p>
        </w:tc>
        <w:tc>
          <w:tcPr>
            <w:tcW w:w="329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≥12次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时效指标</w:t>
            </w:r>
          </w:p>
        </w:tc>
        <w:tc>
          <w:tcPr>
            <w:tcW w:w="204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 xml:space="preserve"> 指标1：主题教育完成质量</w:t>
            </w:r>
          </w:p>
        </w:tc>
        <w:tc>
          <w:tcPr>
            <w:tcW w:w="329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jc w:val="center"/>
              <w:rPr>
                <w:rFonts w:cs="宋体" w:asciiTheme="minorEastAsia" w:hAnsiTheme="minorEastAsia" w:eastAsiaTheme="minorEastAsia"/>
                <w:kern w:val="0"/>
                <w:sz w:val="18"/>
                <w:szCs w:val="18"/>
              </w:rPr>
            </w:pPr>
          </w:p>
        </w:tc>
        <w:tc>
          <w:tcPr>
            <w:tcW w:w="1333"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成本指标</w:t>
            </w:r>
          </w:p>
        </w:tc>
        <w:tc>
          <w:tcPr>
            <w:tcW w:w="204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 xml:space="preserve"> 指标2：特色志愿活动完成质量</w:t>
            </w:r>
          </w:p>
        </w:tc>
        <w:tc>
          <w:tcPr>
            <w:tcW w:w="329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04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 xml:space="preserve"> 指标1：每月特色志愿活动开展的及时性</w:t>
            </w:r>
          </w:p>
        </w:tc>
        <w:tc>
          <w:tcPr>
            <w:tcW w:w="329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及时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可持续影响指标</w:t>
            </w:r>
          </w:p>
        </w:tc>
        <w:tc>
          <w:tcPr>
            <w:tcW w:w="204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 xml:space="preserve"> 指标1：控制成本范围</w:t>
            </w:r>
          </w:p>
        </w:tc>
        <w:tc>
          <w:tcPr>
            <w:tcW w:w="329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≤1万元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满意度指标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w:t>
            </w:r>
          </w:p>
        </w:tc>
        <w:tc>
          <w:tcPr>
            <w:tcW w:w="1333"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204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 xml:space="preserve"> 指标1：增强青少年获得感、幸福感</w:t>
            </w:r>
          </w:p>
        </w:tc>
        <w:tc>
          <w:tcPr>
            <w:tcW w:w="329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增强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pPr>
              <w:keepNext w:val="0"/>
              <w:keepLines w:val="0"/>
              <w:widowControl/>
              <w:suppressLineNumbers w:val="0"/>
              <w:jc w:val="center"/>
              <w:textAlignment w:val="center"/>
              <w:rPr>
                <w:rFonts w:cs="宋体" w:asciiTheme="minorEastAsia" w:hAnsiTheme="minorEastAsia" w:eastAsiaTheme="minorEastAsia"/>
                <w:b/>
                <w:kern w:val="0"/>
                <w:sz w:val="18"/>
                <w:szCs w:val="18"/>
              </w:rPr>
            </w:pPr>
            <w:r>
              <w:rPr>
                <w:rFonts w:hint="eastAsia" w:ascii="宋体" w:hAnsi="宋体" w:eastAsia="宋体" w:cs="宋体"/>
                <w:i w:val="0"/>
                <w:iCs w:val="0"/>
                <w:color w:val="000000"/>
                <w:kern w:val="0"/>
                <w:sz w:val="20"/>
                <w:szCs w:val="20"/>
                <w:u w:val="none"/>
                <w:lang w:val="en-US" w:eastAsia="zh-CN" w:bidi="ar"/>
              </w:rPr>
              <w:t>数量指标</w:t>
            </w:r>
          </w:p>
        </w:tc>
        <w:tc>
          <w:tcPr>
            <w:tcW w:w="204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 xml:space="preserve"> 指标2：全面推进共青团事业发展</w:t>
            </w:r>
          </w:p>
        </w:tc>
        <w:tc>
          <w:tcPr>
            <w:tcW w:w="329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有效推进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质量指标</w:t>
            </w:r>
          </w:p>
        </w:tc>
        <w:tc>
          <w:tcPr>
            <w:tcW w:w="204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 xml:space="preserve"> 指标1：持续增强青少年获得感、幸福感</w:t>
            </w:r>
          </w:p>
        </w:tc>
        <w:tc>
          <w:tcPr>
            <w:tcW w:w="3291"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增强</w:t>
            </w:r>
          </w:p>
        </w:tc>
      </w:tr>
    </w:tbl>
    <w:p>
      <w:pPr>
        <w:tabs>
          <w:tab w:val="left" w:pos="1848"/>
        </w:tabs>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BoldMT">
    <w:altName w:val="Times New Roman"/>
    <w:panose1 w:val="00000000000000000000"/>
    <w:charset w:val="00"/>
    <w:family w:val="roman"/>
    <w:pitch w:val="default"/>
    <w:sig w:usb0="00000000" w:usb1="00000000" w:usb2="00000000" w:usb3="00000000" w:csb0="00000000"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I4NjI2NThmNWEyYjJlM2NmNGVkOTZkMWM5NDI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1826A17"/>
    <w:rsid w:val="06155CFB"/>
    <w:rsid w:val="09616F12"/>
    <w:rsid w:val="0A56459C"/>
    <w:rsid w:val="0DA23232"/>
    <w:rsid w:val="0EE83C31"/>
    <w:rsid w:val="10F863AD"/>
    <w:rsid w:val="113741D2"/>
    <w:rsid w:val="13070B2A"/>
    <w:rsid w:val="1D34261E"/>
    <w:rsid w:val="1F320435"/>
    <w:rsid w:val="1F4629DA"/>
    <w:rsid w:val="257A518B"/>
    <w:rsid w:val="25D53E1D"/>
    <w:rsid w:val="27CE17BE"/>
    <w:rsid w:val="29E928DF"/>
    <w:rsid w:val="2B122C35"/>
    <w:rsid w:val="2EEE2746"/>
    <w:rsid w:val="31077AEF"/>
    <w:rsid w:val="319175CA"/>
    <w:rsid w:val="31CF549D"/>
    <w:rsid w:val="382B0567"/>
    <w:rsid w:val="38DB3D3B"/>
    <w:rsid w:val="3C7F70D3"/>
    <w:rsid w:val="4DB82445"/>
    <w:rsid w:val="4F31425D"/>
    <w:rsid w:val="527E074E"/>
    <w:rsid w:val="57947725"/>
    <w:rsid w:val="579503FF"/>
    <w:rsid w:val="5AAC339C"/>
    <w:rsid w:val="5ECC5D50"/>
    <w:rsid w:val="60535296"/>
    <w:rsid w:val="607F732C"/>
    <w:rsid w:val="636522D0"/>
    <w:rsid w:val="666B5E4F"/>
    <w:rsid w:val="6682540C"/>
    <w:rsid w:val="66C214BF"/>
    <w:rsid w:val="6ACF580A"/>
    <w:rsid w:val="6B657311"/>
    <w:rsid w:val="72FD2525"/>
    <w:rsid w:val="7394437D"/>
    <w:rsid w:val="75575F1C"/>
    <w:rsid w:val="78F92251"/>
    <w:rsid w:val="7A8F7F06"/>
    <w:rsid w:val="7C18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qFormat/>
    <w:uiPriority w:val="0"/>
    <w:rPr>
      <w:b/>
      <w:bCs/>
    </w:rPr>
  </w:style>
  <w:style w:type="character" w:styleId="10">
    <w:name w:val="line number"/>
    <w:autoRedefine/>
    <w:qFormat/>
    <w:uiPriority w:val="0"/>
  </w:style>
  <w:style w:type="character" w:styleId="11">
    <w:name w:val="annotation reference"/>
    <w:qFormat/>
    <w:uiPriority w:val="0"/>
    <w:rPr>
      <w:sz w:val="21"/>
      <w:szCs w:val="21"/>
    </w:rPr>
  </w:style>
  <w:style w:type="character" w:customStyle="1" w:styleId="12">
    <w:name w:val="页脚 Char"/>
    <w:link w:val="5"/>
    <w:autoRedefine/>
    <w:uiPriority w:val="0"/>
    <w:rPr>
      <w:sz w:val="18"/>
      <w:szCs w:val="18"/>
    </w:rPr>
  </w:style>
  <w:style w:type="character" w:customStyle="1" w:styleId="13">
    <w:name w:val="页眉 Char"/>
    <w:link w:val="6"/>
    <w:autoRedefine/>
    <w:uiPriority w:val="0"/>
    <w:rPr>
      <w:sz w:val="18"/>
      <w:szCs w:val="18"/>
    </w:rPr>
  </w:style>
  <w:style w:type="paragraph" w:styleId="14">
    <w:name w:val="List Paragraph"/>
    <w:basedOn w:val="1"/>
    <w:autoRedefine/>
    <w:qFormat/>
    <w:uiPriority w:val="0"/>
    <w:pPr>
      <w:ind w:firstLine="420" w:firstLineChars="200"/>
    </w:pPr>
  </w:style>
  <w:style w:type="character" w:customStyle="1" w:styleId="15">
    <w:name w:val="批注框文本 Char"/>
    <w:link w:val="4"/>
    <w:autoRedefine/>
    <w:qFormat/>
    <w:uiPriority w:val="0"/>
    <w:rPr>
      <w:kern w:val="2"/>
      <w:sz w:val="18"/>
      <w:szCs w:val="18"/>
    </w:rPr>
  </w:style>
  <w:style w:type="character" w:customStyle="1" w:styleId="16">
    <w:name w:val="标题 1 Char"/>
    <w:link w:val="2"/>
    <w:qFormat/>
    <w:uiPriority w:val="0"/>
    <w:rPr>
      <w:rFonts w:ascii="Times New Roman" w:hAnsi="Times New Roman"/>
      <w:b/>
      <w:bCs/>
      <w:kern w:val="44"/>
      <w:sz w:val="44"/>
      <w:szCs w:val="44"/>
    </w:rPr>
  </w:style>
  <w:style w:type="paragraph" w:customStyle="1" w:styleId="17">
    <w:name w:val="TOC Heading"/>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
    <w:name w:val="批注文字 Char"/>
    <w:link w:val="3"/>
    <w:autoRedefine/>
    <w:qFormat/>
    <w:uiPriority w:val="0"/>
    <w:rPr>
      <w:kern w:val="2"/>
      <w:sz w:val="21"/>
      <w:szCs w:val="22"/>
    </w:rPr>
  </w:style>
  <w:style w:type="character" w:customStyle="1" w:styleId="19">
    <w:name w:val="批注主题 Char"/>
    <w:link w:val="7"/>
    <w:autoRedefine/>
    <w:qFormat/>
    <w:uiPriority w:val="0"/>
    <w:rPr>
      <w:b/>
      <w:bCs/>
      <w:kern w:val="2"/>
      <w:sz w:val="21"/>
      <w:szCs w:val="22"/>
    </w:rPr>
  </w:style>
  <w:style w:type="character" w:customStyle="1" w:styleId="20">
    <w:name w:val="fontstyle01"/>
    <w:autoRedefine/>
    <w:qFormat/>
    <w:uiPriority w:val="0"/>
    <w:rPr>
      <w:rFonts w:hint="eastAsia" w:ascii="仿宋_GB2312" w:eastAsia="仿宋_GB2312"/>
      <w:color w:val="000000"/>
      <w:sz w:val="32"/>
      <w:szCs w:val="32"/>
    </w:rPr>
  </w:style>
  <w:style w:type="character" w:customStyle="1" w:styleId="21">
    <w:name w:val="fontstyle21"/>
    <w:autoRedefine/>
    <w:qFormat/>
    <w:uiPriority w:val="0"/>
    <w:rPr>
      <w:rFonts w:hint="default" w:ascii="TimesNewRomanPSMT" w:hAnsi="TimesNewRomanPSMT"/>
      <w:color w:val="000000"/>
      <w:sz w:val="32"/>
      <w:szCs w:val="32"/>
    </w:rPr>
  </w:style>
  <w:style w:type="character" w:customStyle="1" w:styleId="22">
    <w:name w:val="fontstyle11"/>
    <w:autoRedefine/>
    <w:qFormat/>
    <w:uiPriority w:val="0"/>
    <w:rPr>
      <w:rFonts w:hint="eastAsia" w:ascii="仿宋_GB2312" w:eastAsia="仿宋_GB2312"/>
      <w:color w:val="000000"/>
      <w:sz w:val="32"/>
      <w:szCs w:val="32"/>
    </w:rPr>
  </w:style>
  <w:style w:type="character" w:customStyle="1" w:styleId="23">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30</Pages>
  <Words>1440</Words>
  <Characters>8209</Characters>
  <Lines>68</Lines>
  <Paragraphs>19</Paragraphs>
  <TotalTime>17</TotalTime>
  <ScaleCrop>false</ScaleCrop>
  <LinksUpToDate>false</LinksUpToDate>
  <CharactersWithSpaces>9630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Administrator</cp:lastModifiedBy>
  <cp:lastPrinted>2024-02-18T02:23:00Z</cp:lastPrinted>
  <dcterms:modified xsi:type="dcterms:W3CDTF">2024-03-19T10:11:08Z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B4ECD01F37F24DBF93FDEBF66C2D7F7B_13</vt:lpwstr>
  </property>
</Properties>
</file>