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县委政法委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2024年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单位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部门职责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 xml:space="preserve">（一）贯彻习近平新时代中国特色社会主义思想，坚持党对政法工作的绝对领导，坚决执行党的路线方针政策和党中央重大决策部署，推动完善和落实政治轮训和政治督察制度。   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（二）贯彻党中央以及上级党组织决定，研究协调政法单位之间、政法单位和有关部门、地方之间有关重大事项，统一政法单位思想和行动。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（三）加强对政法领域重大实践和理论问题调查研究，提出重大决策部署和改革措施的意见和建议，协助党委决策和统筹推进政法改革等各项工作。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（四）了解掌握和分析研判社会稳定形势、政法工作情况动态，创新完善多部门参与的平安建设工作协调机制，协调推动预防、化解影响稳定的社会矛盾和风险，协调应对和妥善处置重大突发事件，协调指导政法单位和相关部门做好反邪教、反暴恐工作。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（五）加强对政法工作的督查，统筹协调社会治安综合治理、维护社会稳定、反邪教、反暴恐等有关国家法律法规和政策的实施工作。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（六）支持和监督政法单位依法行使职权，检查政法单位执行党的路线方针政策、党中央重大决策部署和国家法律法规的情况，指导和协调政法单位密切配合，完善与纪检监察机关工作衔接和协作配合机制，推进严格执法、公正司法。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（七）指导和推动政法单位党的建设和政法队伍建设，协助党委及其组织部门加强政法单位领导班子和干部队伍建设，协助党委和纪检监察机关做好监督检查、审查调杳工作，派员列席同级政法单位党组（党委）民主生活会。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（八）落实中央和地方各级国家安全领导机构、全面依法治国领导机构的决策部署，支持配合其办事机构工作；指导政法单位加强国家政治安全战略研究、法治中国建设重大问题研究，提出建议和工作意见，指导和协调政法单位维护政治安全工作和执法司法相关工作。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(九）掌握分析政法舆情动态，指导和协调政法单位和有关部门做好依法办理、宣传报道和舆论引导等相关工作。</w:t>
      </w:r>
    </w:p>
    <w:p>
      <w:pPr>
        <w:spacing w:line="640" w:lineRule="exact"/>
        <w:ind w:firstLine="645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（十）完成党委和上级党委政法委员会交办的其他任</w:t>
      </w: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。</w:t>
      </w:r>
    </w:p>
    <w:p>
      <w:pPr>
        <w:spacing w:line="640" w:lineRule="exact"/>
        <w:ind w:firstLine="645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（一）内设机构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积石山县委政法委下设机构有秘书股、执法督导股、综治维稳协调股、防邪教协调股、政工股。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（二）参照公务员法管理的事业单位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积石山县委政法委下属1个参照公务员法管理事业单位，国安办。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（三）其他事业单位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积石山县委政法委下属1个非参照公务员法管理事业单位，综治中心。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362.8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362.8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362.8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362.8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  <w:lang w:val="en-US" w:eastAsia="zh-CN"/>
        </w:rPr>
        <w:t>362.8</w:t>
      </w:r>
      <w:r>
        <w:rPr>
          <w:rStyle w:val="20"/>
          <w:rFonts w:hint="default" w:hAnsi="仿宋"/>
        </w:rPr>
        <w:t>万元， 占</w:t>
      </w:r>
      <w:r>
        <w:rPr>
          <w:rStyle w:val="20"/>
          <w:rFonts w:hint="eastAsia" w:hAnsi="仿宋" w:eastAsia="仿宋_GB2312"/>
          <w:lang w:val="en-US" w:eastAsia="zh-CN"/>
        </w:rPr>
        <w:t>100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一般公共预算基本支出按部门预算经济分类科目安排为：工资福利支出250.8万元，商品和服务支出112万元。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362.8</w:t>
      </w:r>
      <w:r>
        <w:rPr>
          <w:rFonts w:hint="eastAsia" w:ascii="仿宋_GB2312" w:hAnsi="仿宋" w:eastAsia="仿宋_GB2312"/>
          <w:sz w:val="32"/>
          <w:szCs w:val="32"/>
        </w:rPr>
        <w:t>万元，比2023年预算减少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139.37</w:t>
      </w:r>
      <w:r>
        <w:rPr>
          <w:rFonts w:hint="eastAsia" w:ascii="仿宋_GB2312" w:hAnsi="仿宋" w:eastAsia="仿宋_GB2312"/>
          <w:sz w:val="32"/>
          <w:szCs w:val="32"/>
        </w:rPr>
        <w:t>万元，下降）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29.8</w:t>
      </w:r>
      <w:r>
        <w:rPr>
          <w:rFonts w:hint="eastAsia" w:ascii="仿宋_GB2312" w:hAnsi="仿宋" w:eastAsia="仿宋_GB2312"/>
          <w:sz w:val="32"/>
          <w:szCs w:val="32"/>
        </w:rPr>
        <w:t>%，下降的主要原因是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人员减少。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250.8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60.6</w:t>
      </w:r>
      <w:r>
        <w:rPr>
          <w:rFonts w:hint="eastAsia" w:ascii="仿宋_GB2312" w:hAnsi="仿宋" w:eastAsia="仿宋_GB2312"/>
          <w:sz w:val="32"/>
          <w:szCs w:val="32"/>
        </w:rPr>
        <w:t>万元、津贴补贴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78.4</w:t>
      </w:r>
      <w:r>
        <w:rPr>
          <w:rFonts w:hint="eastAsia" w:ascii="仿宋_GB2312" w:hAnsi="仿宋" w:eastAsia="仿宋_GB2312"/>
          <w:sz w:val="32"/>
          <w:szCs w:val="32"/>
        </w:rPr>
        <w:t>万元、奖金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16.6</w:t>
      </w:r>
      <w:r>
        <w:rPr>
          <w:rFonts w:hint="eastAsia" w:ascii="仿宋_GB2312" w:hAnsi="仿宋" w:eastAsia="仿宋_GB2312"/>
          <w:sz w:val="32"/>
          <w:szCs w:val="32"/>
        </w:rPr>
        <w:t>万元、机关事业单位基本养老保险缴费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" w:eastAsia="仿宋_GB2312"/>
          <w:sz w:val="32"/>
          <w:szCs w:val="32"/>
        </w:rPr>
        <w:t>万元、职业年金缴费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0.4</w:t>
      </w:r>
      <w:r>
        <w:rPr>
          <w:rFonts w:hint="eastAsia" w:ascii="仿宋_GB2312" w:hAnsi="仿宋" w:eastAsia="仿宋_GB2312"/>
          <w:sz w:val="32"/>
          <w:szCs w:val="32"/>
        </w:rPr>
        <w:t>万元、住房公积金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万元、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其他人员类刚性支出43.8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112</w:t>
      </w:r>
      <w:r>
        <w:rPr>
          <w:rFonts w:hint="eastAsia" w:ascii="仿宋_GB2312" w:hAnsi="仿宋" w:eastAsia="仿宋_GB2312"/>
          <w:sz w:val="32"/>
          <w:szCs w:val="32"/>
        </w:rPr>
        <w:t>万元，主要包括：办公费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/>
          <w:sz w:val="32"/>
          <w:szCs w:val="32"/>
        </w:rPr>
        <w:t>万元、印刷费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电费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万元、邮电费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差旅费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、租赁费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万元、其他商品和服务支出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1.2023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年“三公”经费预算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元，比上年预算数减少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其中：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公务接待费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元，比上年预算数减少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26.07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2024年使用政府性基金预算拨款安排支出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说明:如果2024年未安排政府性基金预算支出，请写成“未安排预算，政府性基金预算支出情况表为空表。”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2024年本部门/单位涉及非税收入，2024年计划征收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选取1个2024年部门/单位预算安排的经济社会发展类项目公开项目文本信息，包括项目名称、项目概况、立项依据、实施主体、实施周期、实施计划、年度预算安排、预期总体目标等内容。没有经济社会发展类项目支出的部门/单位可公开其他类项目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1、项目概况：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2、立项依据：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3、实施主体：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4、实施周期：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5、实施计划：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6、年度预算安排：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7、预期总体目标：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说明：如果本部门没有一般公共预算的项目支出预算，则写“本部门/单位年初预算未安排项目支出，无重点项目说明。”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2024年使用国有资本经营预算拨款安排支出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   个，按规定随年度预算一并公开项目   个，公开率为    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   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项目的    %。截至7月底，如期完成预算执行和绩效目标指标值的项目   个，完成率为    %。“双监控”发现存在的问题和主要原因是：……(需自行完善编辑)。开展1-9月绩效运行监控项目   个，占本部门（单位）项目的    %。截至10月底，如期完成预算执行和绩效目标指标值的项目   个，完成率为    %。“双监控”发现存在的问题和主要原因是：……。绩效运行监控在部门内部通报整改情况：……(需自行完善编辑)。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   个，其中，部门（单位）整体支出   个，项目支出   个，转移支付项目   个，绩效自评覆盖率为    %。绩效自评结果随部门决算报送财政和随决算公开情况：┄┄(需自行完善编辑)。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  万元，2024年度增加（减少）部门预算项目   个，增长率/压减率   %。同时对政策和项目资金管理作出调整的   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2024年，纳入部门/单位预算绩效目标管理的项目   个。其中，部门整体支出绩效目标围绕部门管理、履职效果、能力建设三个维度，设置二级指标   个、三级指标   个；项目支出绩效目标围绕成本指标、产出指标、效益指标、满意度指标四个维度，设置二级指标   个、三级指标   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……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（请部门/单位对编制中涉及的专业名词进行补充解释）</w:t>
      </w: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val="en-US" w:eastAsia="zh-CN"/>
        </w:rPr>
        <w:t>中共积石山县委政法委</w:t>
      </w:r>
    </w:p>
    <w:p>
      <w:pPr>
        <w:adjustRightInd w:val="0"/>
        <w:snapToGrid w:val="0"/>
        <w:spacing w:line="640" w:lineRule="exact"/>
        <w:ind w:right="1120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               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 xml:space="preserve">  月  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val="en-US" w:eastAsia="zh-CN"/>
        </w:rPr>
        <w:t>县委政法委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 xml:space="preserve">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val="en-US" w:eastAsia="zh-CN"/>
        </w:rPr>
        <w:t>县委政法委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tbl>
      <w:tblPr>
        <w:tblStyle w:val="8"/>
        <w:tblpPr w:leftFromText="180" w:rightFromText="180" w:vertAnchor="text" w:horzAnchor="page" w:tblpX="1285" w:tblpY="342"/>
        <w:tblOverlap w:val="never"/>
        <w:tblW w:w="96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362.8</w:t>
            </w:r>
          </w:p>
        </w:tc>
      </w:tr>
    </w:tbl>
    <w:p>
      <w:pPr>
        <w:ind w:firstLine="8820" w:firstLineChars="4900"/>
        <w:jc w:val="both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71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362.8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2013601-行政运行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362.8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2013601-行政运行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2013601-行政运行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2013601-行政运行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2013601-行政运行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2013601-行政运行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250.8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 负责县委政法具体工作，组织开展政法重大问题的政策研究，协调督促有关方面落实县委决定事项、工作部署和要求；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目标2：统筹协调社会治安综合治理、维护社会稳定、扫黑除恶、反邪教、反暴恐等有关国家法律法规和政策的实施工作。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250.8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250.8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362.8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608F5"/>
    <w:multiLevelType w:val="multilevel"/>
    <w:tmpl w:val="51A608F5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mEyMmM0NjAzNGNjNjZkNWJiZWFlMzMzMWQ2MDA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826A17"/>
    <w:rsid w:val="06155CFB"/>
    <w:rsid w:val="09616F12"/>
    <w:rsid w:val="0A56459C"/>
    <w:rsid w:val="0DED5218"/>
    <w:rsid w:val="0EE83C31"/>
    <w:rsid w:val="10F863AD"/>
    <w:rsid w:val="113741D2"/>
    <w:rsid w:val="13070B2A"/>
    <w:rsid w:val="1D34261E"/>
    <w:rsid w:val="1F4629DA"/>
    <w:rsid w:val="257A518B"/>
    <w:rsid w:val="25D53E1D"/>
    <w:rsid w:val="27CE17BE"/>
    <w:rsid w:val="29E928DF"/>
    <w:rsid w:val="2EEE2746"/>
    <w:rsid w:val="31077AEF"/>
    <w:rsid w:val="31CF549D"/>
    <w:rsid w:val="382B0567"/>
    <w:rsid w:val="38DB3D3B"/>
    <w:rsid w:val="3C7F70D3"/>
    <w:rsid w:val="3F8844F1"/>
    <w:rsid w:val="4DB82445"/>
    <w:rsid w:val="4F31425D"/>
    <w:rsid w:val="527E074E"/>
    <w:rsid w:val="53081779"/>
    <w:rsid w:val="56F80811"/>
    <w:rsid w:val="579503FF"/>
    <w:rsid w:val="5D186B1F"/>
    <w:rsid w:val="5ECC5D50"/>
    <w:rsid w:val="60535296"/>
    <w:rsid w:val="607F732C"/>
    <w:rsid w:val="636522D0"/>
    <w:rsid w:val="666B5E4F"/>
    <w:rsid w:val="66E30B96"/>
    <w:rsid w:val="6ADC3E41"/>
    <w:rsid w:val="6B657311"/>
    <w:rsid w:val="72FD2525"/>
    <w:rsid w:val="7394437D"/>
    <w:rsid w:val="75575F1C"/>
    <w:rsid w:val="7A8F7F06"/>
    <w:rsid w:val="7C183F2B"/>
    <w:rsid w:val="7E8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5</TotalTime>
  <ScaleCrop>false</ScaleCrop>
  <LinksUpToDate>false</LinksUpToDate>
  <CharactersWithSpaces>9630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Lenovo</cp:lastModifiedBy>
  <cp:lastPrinted>2024-02-18T02:23:00Z</cp:lastPrinted>
  <dcterms:modified xsi:type="dcterms:W3CDTF">2024-03-14T01:23:31Z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86F65664F8074D8D8C838192D57BA001_13</vt:lpwstr>
  </property>
</Properties>
</file>