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rPr>
          <w:rFonts w:ascii="宋体" w:hAnsi="宋体" w:cs="宋体"/>
          <w:b/>
          <w:bCs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kern w:val="0"/>
          <w:sz w:val="24"/>
          <w:szCs w:val="24"/>
        </w:rPr>
        <w:t>附件</w:t>
      </w:r>
      <w:r>
        <w:rPr>
          <w:rFonts w:ascii="宋体" w:hAnsi="宋体" w:cs="宋体"/>
          <w:b/>
          <w:bCs/>
          <w:kern w:val="0"/>
          <w:sz w:val="24"/>
          <w:szCs w:val="24"/>
        </w:rPr>
        <w:t>1</w:t>
      </w:r>
    </w:p>
    <w:p>
      <w:pPr>
        <w:spacing w:line="660" w:lineRule="exact"/>
        <w:jc w:val="center"/>
        <w:rPr>
          <w:rFonts w:ascii="宋体" w:hAnsi="宋体" w:cs="宋体"/>
          <w:b/>
          <w:bCs/>
          <w:kern w:val="0"/>
          <w:sz w:val="44"/>
          <w:szCs w:val="44"/>
        </w:rPr>
      </w:pPr>
    </w:p>
    <w:p>
      <w:pPr>
        <w:spacing w:line="660" w:lineRule="exact"/>
        <w:jc w:val="center"/>
        <w:rPr>
          <w:rFonts w:ascii="宋体" w:hAnsi="宋体" w:cs="宋体"/>
          <w:b/>
          <w:bCs/>
          <w:kern w:val="0"/>
          <w:sz w:val="44"/>
          <w:szCs w:val="44"/>
        </w:rPr>
      </w:pPr>
    </w:p>
    <w:p>
      <w:pPr>
        <w:spacing w:line="660" w:lineRule="exact"/>
        <w:jc w:val="center"/>
        <w:rPr>
          <w:rFonts w:ascii="宋体" w:hAnsi="宋体" w:cs="宋体"/>
          <w:b/>
          <w:bCs/>
          <w:kern w:val="0"/>
          <w:sz w:val="44"/>
          <w:szCs w:val="44"/>
        </w:rPr>
      </w:pPr>
    </w:p>
    <w:p>
      <w:pPr>
        <w:spacing w:line="660" w:lineRule="exact"/>
        <w:jc w:val="center"/>
        <w:rPr>
          <w:rFonts w:hint="eastAsia" w:ascii="宋体" w:hAnsi="宋体" w:cs="宋体"/>
          <w:b/>
          <w:bCs/>
          <w:kern w:val="0"/>
          <w:sz w:val="44"/>
          <w:szCs w:val="44"/>
          <w:lang w:val="en-US" w:eastAsia="zh-CN"/>
        </w:rPr>
      </w:pPr>
      <w:r>
        <w:rPr>
          <w:rFonts w:hint="eastAsia" w:ascii="宋体" w:hAnsi="宋体" w:cs="宋体"/>
          <w:b/>
          <w:bCs/>
          <w:kern w:val="0"/>
          <w:sz w:val="44"/>
          <w:szCs w:val="44"/>
          <w:lang w:val="en-US" w:eastAsia="zh-CN"/>
        </w:rPr>
        <w:t>积石山县统计局</w:t>
      </w:r>
    </w:p>
    <w:p>
      <w:pPr>
        <w:spacing w:line="660" w:lineRule="exact"/>
        <w:jc w:val="center"/>
        <w:rPr>
          <w:rFonts w:ascii="宋体" w:hAnsi="宋体" w:cs="宋体"/>
          <w:b/>
          <w:bCs/>
          <w:kern w:val="0"/>
          <w:sz w:val="44"/>
          <w:szCs w:val="44"/>
        </w:rPr>
        <w:sectPr>
          <w:footerReference r:id="rId3" w:type="default"/>
          <w:pgSz w:w="11906" w:h="16838"/>
          <w:pgMar w:top="1134" w:right="1134" w:bottom="1440" w:left="1276" w:header="851" w:footer="992" w:gutter="0"/>
          <w:cols w:space="720" w:num="1"/>
          <w:docGrid w:type="lines" w:linePitch="312" w:charSpace="0"/>
        </w:sectPr>
      </w:pPr>
      <w:r>
        <w:rPr>
          <w:rFonts w:hint="eastAsia" w:ascii="宋体" w:hAnsi="宋体" w:cs="宋体"/>
          <w:b/>
          <w:bCs/>
          <w:kern w:val="0"/>
          <w:sz w:val="44"/>
          <w:szCs w:val="44"/>
        </w:rPr>
        <w:t xml:space="preserve">2024年部门预算公开情况说明 </w:t>
      </w:r>
    </w:p>
    <w:p>
      <w:pPr>
        <w:spacing w:line="660" w:lineRule="exact"/>
        <w:jc w:val="center"/>
        <w:rPr>
          <w:rFonts w:ascii="宋体" w:hAnsi="宋体" w:cs="宋体"/>
          <w:b/>
          <w:bCs/>
          <w:kern w:val="0"/>
          <w:sz w:val="44"/>
          <w:szCs w:val="44"/>
        </w:rPr>
      </w:pPr>
      <w:r>
        <w:rPr>
          <w:rFonts w:hint="eastAsia" w:ascii="宋体" w:hAnsi="宋体" w:cs="宋体"/>
          <w:b/>
          <w:bCs/>
          <w:kern w:val="0"/>
          <w:sz w:val="44"/>
          <w:szCs w:val="44"/>
        </w:rPr>
        <w:t>目  录</w:t>
      </w:r>
    </w:p>
    <w:p>
      <w:pPr>
        <w:spacing w:line="660" w:lineRule="exact"/>
        <w:jc w:val="center"/>
        <w:rPr>
          <w:rFonts w:ascii="宋体" w:hAnsi="宋体" w:cs="宋体"/>
          <w:b/>
          <w:bCs/>
          <w:kern w:val="0"/>
          <w:sz w:val="44"/>
          <w:szCs w:val="44"/>
        </w:rPr>
      </w:pPr>
    </w:p>
    <w:p>
      <w:pPr>
        <w:spacing w:line="30" w:lineRule="exact"/>
        <w:jc w:val="center"/>
        <w:rPr>
          <w:rFonts w:ascii="黑体" w:eastAsia="黑体"/>
          <w:color w:val="000000"/>
          <w:sz w:val="18"/>
          <w:szCs w:val="18"/>
        </w:rPr>
      </w:pPr>
    </w:p>
    <w:p>
      <w:pPr>
        <w:spacing w:line="560" w:lineRule="exact"/>
        <w:ind w:firstLine="602" w:firstLineChars="200"/>
        <w:jc w:val="left"/>
        <w:rPr>
          <w:rFonts w:ascii="仿宋_GB2312" w:hAnsi="仿宋" w:eastAsia="仿宋_GB2312"/>
          <w:b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b/>
          <w:color w:val="000000"/>
          <w:sz w:val="30"/>
          <w:szCs w:val="30"/>
        </w:rPr>
        <w:t>第一部分 部门/单位基本概况</w:t>
      </w:r>
    </w:p>
    <w:p>
      <w:pPr>
        <w:spacing w:line="560" w:lineRule="exact"/>
        <w:ind w:firstLine="600" w:firstLineChars="200"/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一、部门/单位职责</w:t>
      </w:r>
    </w:p>
    <w:p>
      <w:pPr>
        <w:spacing w:line="560" w:lineRule="exact"/>
        <w:ind w:firstLine="600" w:firstLineChars="200"/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二、机构设置情况</w:t>
      </w:r>
    </w:p>
    <w:p>
      <w:pPr>
        <w:spacing w:line="560" w:lineRule="exact"/>
        <w:ind w:firstLine="602" w:firstLineChars="200"/>
        <w:jc w:val="left"/>
        <w:rPr>
          <w:rFonts w:ascii="仿宋_GB2312" w:hAnsi="仿宋" w:eastAsia="仿宋_GB2312"/>
          <w:b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b/>
          <w:color w:val="000000"/>
          <w:sz w:val="30"/>
          <w:szCs w:val="30"/>
        </w:rPr>
        <w:t>第二部分 2024年部门/单位预算情况说明</w:t>
      </w:r>
    </w:p>
    <w:p>
      <w:pPr>
        <w:spacing w:line="560" w:lineRule="exact"/>
        <w:ind w:firstLine="600" w:firstLineChars="200"/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一、收支总体情况</w:t>
      </w:r>
    </w:p>
    <w:p>
      <w:pPr>
        <w:spacing w:line="560" w:lineRule="exact"/>
        <w:ind w:firstLine="600" w:firstLineChars="200"/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二、一般公共预算情况</w:t>
      </w:r>
    </w:p>
    <w:p>
      <w:pPr>
        <w:spacing w:line="560" w:lineRule="exact"/>
        <w:ind w:firstLine="600" w:firstLineChars="200"/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三、一般公共预算财政拨款“三公”经费、培训费、会议费等情况</w:t>
      </w:r>
    </w:p>
    <w:p>
      <w:pPr>
        <w:spacing w:line="560" w:lineRule="exact"/>
        <w:ind w:firstLine="600" w:firstLineChars="200"/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四、一般公共预算财政拨款机关运行经费情况</w:t>
      </w:r>
    </w:p>
    <w:p>
      <w:pPr>
        <w:spacing w:line="560" w:lineRule="exact"/>
        <w:ind w:firstLine="600" w:firstLineChars="200"/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五、政府采购安排情况</w:t>
      </w:r>
    </w:p>
    <w:p>
      <w:pPr>
        <w:spacing w:line="560" w:lineRule="exact"/>
        <w:ind w:firstLine="600" w:firstLineChars="200"/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六、国有资产占用情况</w:t>
      </w:r>
    </w:p>
    <w:p>
      <w:pPr>
        <w:spacing w:line="560" w:lineRule="exact"/>
        <w:ind w:firstLine="600" w:firstLineChars="200"/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七、其他重要事项情况说明</w:t>
      </w:r>
    </w:p>
    <w:p>
      <w:pPr>
        <w:spacing w:line="560" w:lineRule="exact"/>
        <w:ind w:firstLine="600" w:firstLineChars="200"/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八、预算绩效管理情况</w:t>
      </w:r>
    </w:p>
    <w:p>
      <w:pPr>
        <w:spacing w:line="560" w:lineRule="exact"/>
        <w:ind w:firstLine="600" w:firstLineChars="200"/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九、名词解释</w:t>
      </w:r>
    </w:p>
    <w:p>
      <w:pPr>
        <w:spacing w:line="560" w:lineRule="exact"/>
        <w:ind w:firstLine="602" w:firstLineChars="200"/>
        <w:jc w:val="left"/>
        <w:rPr>
          <w:rFonts w:ascii="仿宋_GB2312" w:hAnsi="仿宋" w:eastAsia="仿宋_GB2312"/>
          <w:b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b/>
          <w:color w:val="000000"/>
          <w:sz w:val="30"/>
          <w:szCs w:val="30"/>
        </w:rPr>
        <w:t>第三部分 2024年部门（单位）预算公开表</w:t>
      </w:r>
    </w:p>
    <w:p>
      <w:pPr>
        <w:spacing w:line="560" w:lineRule="exact"/>
        <w:ind w:firstLine="600" w:firstLineChars="200"/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一、部门/单位收支总体情况表</w:t>
      </w:r>
    </w:p>
    <w:p>
      <w:pPr>
        <w:spacing w:line="560" w:lineRule="exact"/>
        <w:ind w:firstLine="600" w:firstLineChars="200"/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二、部门/单位收入总体情况表</w:t>
      </w:r>
    </w:p>
    <w:p>
      <w:pPr>
        <w:spacing w:line="560" w:lineRule="exact"/>
        <w:ind w:firstLine="600" w:firstLineChars="200"/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三、部门/单位支出总体情况表</w:t>
      </w:r>
    </w:p>
    <w:p>
      <w:pPr>
        <w:spacing w:line="560" w:lineRule="exact"/>
        <w:ind w:firstLine="600" w:firstLineChars="200"/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四、财政拨款收支总体情况表</w:t>
      </w:r>
    </w:p>
    <w:p>
      <w:pPr>
        <w:spacing w:line="560" w:lineRule="exact"/>
        <w:ind w:firstLine="600" w:firstLineChars="200"/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五、财政拨款支出表</w:t>
      </w:r>
    </w:p>
    <w:p>
      <w:pPr>
        <w:spacing w:line="560" w:lineRule="exact"/>
        <w:ind w:firstLine="600" w:firstLineChars="200"/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六、一般公共预算支出情况表</w:t>
      </w:r>
    </w:p>
    <w:p>
      <w:pPr>
        <w:spacing w:line="560" w:lineRule="exact"/>
        <w:ind w:firstLine="600" w:firstLineChars="200"/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七、一般公共预算基本支出情况表</w:t>
      </w:r>
    </w:p>
    <w:p>
      <w:pPr>
        <w:spacing w:line="560" w:lineRule="exact"/>
        <w:ind w:firstLine="600" w:firstLineChars="200"/>
        <w:jc w:val="left"/>
        <w:rPr>
          <w:rFonts w:ascii="仿宋_GB2312" w:hAnsi="仿宋" w:eastAsia="仿宋_GB2312"/>
          <w:color w:val="000000"/>
          <w:spacing w:val="-2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八、</w:t>
      </w:r>
      <w:r>
        <w:rPr>
          <w:rFonts w:hint="eastAsia" w:ascii="仿宋_GB2312" w:hAnsi="仿宋" w:eastAsia="仿宋_GB2312"/>
          <w:color w:val="000000"/>
          <w:spacing w:val="-20"/>
          <w:sz w:val="30"/>
          <w:szCs w:val="30"/>
        </w:rPr>
        <w:t>一般公共预算财政拨款“三公”经费、会议费、培训费支出情况表</w:t>
      </w:r>
    </w:p>
    <w:p>
      <w:pPr>
        <w:spacing w:line="560" w:lineRule="exact"/>
        <w:ind w:firstLine="600" w:firstLineChars="200"/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九、一般公共预算财政拨款机关运行经费表</w:t>
      </w:r>
    </w:p>
    <w:p>
      <w:pPr>
        <w:spacing w:line="560" w:lineRule="exact"/>
        <w:ind w:firstLine="600" w:firstLineChars="200"/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十、政府性基金预算支出情况表</w:t>
      </w:r>
    </w:p>
    <w:p>
      <w:pPr>
        <w:spacing w:line="560" w:lineRule="exact"/>
        <w:ind w:firstLine="600" w:firstLineChars="200"/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十</w:t>
      </w:r>
      <w:r>
        <w:rPr>
          <w:rFonts w:hint="eastAsia" w:ascii="仿宋_GB2312" w:hAnsi="仿宋" w:eastAsia="仿宋_GB2312"/>
          <w:color w:val="000000"/>
          <w:sz w:val="30"/>
          <w:szCs w:val="30"/>
          <w:lang w:val="en-US" w:eastAsia="zh-CN"/>
        </w:rPr>
        <w:t>一</w:t>
      </w:r>
      <w:r>
        <w:rPr>
          <w:rFonts w:hint="eastAsia" w:ascii="仿宋_GB2312" w:hAnsi="仿宋" w:eastAsia="仿宋_GB2312"/>
          <w:color w:val="000000"/>
          <w:sz w:val="30"/>
          <w:szCs w:val="30"/>
        </w:rPr>
        <w:t>、国有资本经营预算支出情况表</w:t>
      </w:r>
    </w:p>
    <w:p>
      <w:pPr>
        <w:spacing w:line="560" w:lineRule="exact"/>
        <w:ind w:firstLine="600" w:firstLineChars="200"/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十</w:t>
      </w:r>
      <w:r>
        <w:rPr>
          <w:rFonts w:hint="eastAsia" w:ascii="仿宋_GB2312" w:hAnsi="仿宋" w:eastAsia="仿宋_GB2312"/>
          <w:color w:val="000000"/>
          <w:sz w:val="30"/>
          <w:szCs w:val="30"/>
          <w:lang w:val="en-US" w:eastAsia="zh-CN"/>
        </w:rPr>
        <w:t>二</w:t>
      </w:r>
      <w:r>
        <w:rPr>
          <w:rFonts w:hint="eastAsia" w:ascii="仿宋_GB2312" w:hAnsi="仿宋" w:eastAsia="仿宋_GB2312"/>
          <w:color w:val="000000"/>
          <w:sz w:val="30"/>
          <w:szCs w:val="30"/>
        </w:rPr>
        <w:t>、部门/单位整体支出绩效目标表和项目支出绩效目标表</w:t>
      </w:r>
    </w:p>
    <w:p>
      <w:pPr>
        <w:spacing w:line="660" w:lineRule="exact"/>
        <w:jc w:val="center"/>
        <w:rPr>
          <w:rFonts w:ascii="仿宋_GB2312" w:hAnsi="宋体" w:eastAsia="仿宋_GB2312" w:cs="宋体"/>
          <w:b/>
          <w:bCs/>
          <w:kern w:val="0"/>
          <w:sz w:val="44"/>
          <w:szCs w:val="44"/>
        </w:rPr>
      </w:pPr>
    </w:p>
    <w:p>
      <w:pPr>
        <w:spacing w:line="600" w:lineRule="exact"/>
        <w:ind w:firstLine="562" w:firstLineChars="200"/>
        <w:rPr>
          <w:rFonts w:ascii="仿宋_GB2312" w:hAnsi="仿宋" w:eastAsia="仿宋_GB2312" w:cs="宋体"/>
          <w:b/>
          <w:kern w:val="0"/>
          <w:sz w:val="28"/>
          <w:szCs w:val="28"/>
        </w:rPr>
        <w:sectPr>
          <w:footerReference r:id="rId4" w:type="default"/>
          <w:pgSz w:w="11906" w:h="16838"/>
          <w:pgMar w:top="1134" w:right="1134" w:bottom="1440" w:left="1276" w:header="851" w:footer="992" w:gutter="0"/>
          <w:pgNumType w:start="1"/>
          <w:cols w:space="720" w:num="1"/>
          <w:docGrid w:type="lines" w:linePitch="312" w:charSpace="0"/>
        </w:sectPr>
      </w:pPr>
    </w:p>
    <w:p>
      <w:pPr>
        <w:spacing w:line="600" w:lineRule="exact"/>
        <w:ind w:firstLine="643" w:firstLineChars="200"/>
        <w:rPr>
          <w:rFonts w:ascii="仿宋_GB2312" w:hAnsi="黑体" w:eastAsia="仿宋_GB2312" w:cs="宋体"/>
          <w:b/>
          <w:kern w:val="0"/>
          <w:sz w:val="32"/>
          <w:szCs w:val="32"/>
        </w:rPr>
      </w:pPr>
      <w:r>
        <w:rPr>
          <w:rFonts w:hint="eastAsia" w:ascii="仿宋_GB2312" w:hAnsi="黑体" w:eastAsia="仿宋_GB2312" w:cs="宋体"/>
          <w:b/>
          <w:kern w:val="0"/>
          <w:sz w:val="32"/>
          <w:szCs w:val="32"/>
        </w:rPr>
        <w:t>前言</w:t>
      </w:r>
    </w:p>
    <w:p>
      <w:pPr>
        <w:spacing w:line="600" w:lineRule="exact"/>
        <w:ind w:firstLine="640" w:firstLineChars="200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按照《中华人民共和国预算法》《中华人民共和国预算法实施条例》以及</w:t>
      </w:r>
      <w:r>
        <w:rPr>
          <w:rFonts w:ascii="仿宋_GB2312" w:hAnsi="仿宋" w:eastAsia="仿宋_GB2312" w:cs="宋体"/>
          <w:kern w:val="0"/>
          <w:sz w:val="32"/>
          <w:szCs w:val="32"/>
        </w:rPr>
        <w:t>财政部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《地方预决算公开操作规程》《关于推进部门所属单位预算公开的指导意见》和《中共甘肃省委办公厅 甘肃省人民政府办公厅关于进一步推进预算公开工作的实施方案》要求，现将2024年部门预算公开如下：</w:t>
      </w:r>
    </w:p>
    <w:p>
      <w:pPr>
        <w:spacing w:line="600" w:lineRule="exact"/>
        <w:ind w:firstLine="640" w:firstLineChars="200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一、部门/单位职责</w:t>
      </w:r>
    </w:p>
    <w:p>
      <w:pPr>
        <w:spacing w:line="600" w:lineRule="exact"/>
        <w:ind w:firstLine="640" w:firstLineChars="200"/>
        <w:rPr>
          <w:rFonts w:hint="eastAsia"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(一)贯彻落实党和国家对统计工作的方针、政策、法律和法规，执行县委、县政府的各项重大决策部署，对县政府负责并报告工作。</w:t>
      </w:r>
    </w:p>
    <w:p>
      <w:pPr>
        <w:spacing w:line="600" w:lineRule="exact"/>
        <w:ind w:firstLine="640" w:firstLineChars="200"/>
        <w:rPr>
          <w:rFonts w:hint="eastAsia"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(二)执行国家统计标准和基本统计报告制度，完成国家和省、州业务部门下达的各项统计工作任务。</w:t>
      </w:r>
    </w:p>
    <w:p>
      <w:pPr>
        <w:spacing w:line="600" w:lineRule="exact"/>
        <w:ind w:firstLine="640" w:firstLineChars="200"/>
        <w:rPr>
          <w:rFonts w:hint="eastAsia"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(三)会同有关部门开展国家组织的重大国情、国力普查、</w:t>
      </w:r>
    </w:p>
    <w:p>
      <w:pPr>
        <w:spacing w:line="600" w:lineRule="exact"/>
        <w:ind w:firstLine="640" w:firstLineChars="200"/>
        <w:rPr>
          <w:rFonts w:hint="eastAsia"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调查，制定全县统计调查计划及调查方案，并组织实施与协调、</w:t>
      </w:r>
    </w:p>
    <w:p>
      <w:pPr>
        <w:spacing w:line="600" w:lineRule="exact"/>
        <w:rPr>
          <w:rFonts w:hint="eastAsia"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督促、检查全县统计调查工作。</w:t>
      </w:r>
    </w:p>
    <w:p>
      <w:pPr>
        <w:spacing w:line="600" w:lineRule="exact"/>
        <w:ind w:firstLine="640" w:firstLineChars="200"/>
        <w:rPr>
          <w:rFonts w:hint="eastAsia"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(四)拟定全县统计改革和建设规划，组织全县统计调查项目，对其统计报表、统计数据进行统计审批和管理；统一管理民间统计调查活动。</w:t>
      </w:r>
    </w:p>
    <w:p>
      <w:pPr>
        <w:spacing w:line="600" w:lineRule="exact"/>
        <w:ind w:firstLine="640" w:firstLineChars="200"/>
        <w:rPr>
          <w:rFonts w:hint="eastAsia"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(五)组织协调全县城市和农村社会经济调查工作，受省统计局委托，协助管理城乡社会经济调查队。</w:t>
      </w:r>
    </w:p>
    <w:p>
      <w:pPr>
        <w:spacing w:line="600" w:lineRule="exact"/>
        <w:ind w:firstLine="640" w:firstLineChars="200"/>
        <w:rPr>
          <w:rFonts w:hint="eastAsia"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(六)建立健全国民统计核算体系和统计指标体系，监督检查统计和国民经济核算工作，对有关国计民生的经济社会发展状况和县委、县政府重大决策实施情况进行跟踪监测。</w:t>
      </w:r>
    </w:p>
    <w:p>
      <w:pPr>
        <w:spacing w:line="600" w:lineRule="exact"/>
        <w:ind w:firstLine="640" w:firstLineChars="200"/>
        <w:rPr>
          <w:rFonts w:hint="eastAsia"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(七)收集、整理、提供全县基本统计资料，对全县国民经济和社会发展等状况进行统计评估、统计分析、统计预测、统计监督，向县委、县政府及有关部门提供统计信息和咨询建议。</w:t>
      </w:r>
    </w:p>
    <w:p>
      <w:pPr>
        <w:spacing w:line="600" w:lineRule="exact"/>
        <w:ind w:firstLine="640" w:firstLineChars="200"/>
        <w:rPr>
          <w:rFonts w:hint="eastAsia"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(八)审定、管理、公布、出版、发行全县基本统计资料。定期发布全县国民经济和社会发展统计公报，报道统计新闻，及时向全社会各界提供统计信息。</w:t>
      </w:r>
    </w:p>
    <w:p>
      <w:pPr>
        <w:spacing w:line="600" w:lineRule="exact"/>
        <w:ind w:firstLine="640" w:firstLineChars="200"/>
        <w:rPr>
          <w:rFonts w:hint="eastAsia"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(九)认真开展统计巡查工作，检查监督统计法律法规的</w:t>
      </w:r>
    </w:p>
    <w:p>
      <w:pPr>
        <w:spacing w:line="600" w:lineRule="exact"/>
        <w:ind w:firstLine="640" w:firstLineChars="200"/>
        <w:rPr>
          <w:rFonts w:hint="eastAsia"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贯彻实施，切实保障政府统计的公信力；依法维护统计人员的合法权利，揭露、追究、处理、制止违法统计法规的行为。负责全县统计人员的专业理论知识、统计继续教育。</w:t>
      </w:r>
    </w:p>
    <w:p>
      <w:pPr>
        <w:spacing w:line="600" w:lineRule="exact"/>
        <w:ind w:firstLine="640" w:firstLineChars="200"/>
        <w:rPr>
          <w:rFonts w:hint="eastAsia"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(十)建立健全和管理全县统计信息自动化建设和统计数</w:t>
      </w:r>
    </w:p>
    <w:p>
      <w:pPr>
        <w:spacing w:line="600" w:lineRule="exact"/>
        <w:ind w:firstLine="640" w:firstLineChars="200"/>
        <w:rPr>
          <w:rFonts w:hint="eastAsia"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据库体系，组织协调和统计管理县、乡(镇)统计网络运行和</w:t>
      </w:r>
    </w:p>
    <w:p>
      <w:pPr>
        <w:spacing w:line="600" w:lineRule="exact"/>
        <w:ind w:firstLine="640" w:firstLineChars="200"/>
        <w:rPr>
          <w:rFonts w:hint="eastAsia"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维护工作。</w:t>
      </w:r>
    </w:p>
    <w:p>
      <w:pPr>
        <w:spacing w:line="600" w:lineRule="exact"/>
        <w:ind w:firstLine="640" w:firstLineChars="200"/>
        <w:rPr>
          <w:rFonts w:hint="eastAsia"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(十一)统一管理县级统计事业费，做到勤俭节约，确保</w:t>
      </w:r>
    </w:p>
    <w:p>
      <w:pPr>
        <w:spacing w:line="600" w:lineRule="exact"/>
        <w:ind w:firstLine="640" w:firstLineChars="200"/>
        <w:rPr>
          <w:rFonts w:hint="eastAsia"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统计工作正常运行。</w:t>
      </w:r>
    </w:p>
    <w:p>
      <w:pPr>
        <w:spacing w:line="600" w:lineRule="exact"/>
        <w:ind w:firstLine="640" w:firstLineChars="200"/>
        <w:rPr>
          <w:rFonts w:hint="eastAsia"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(十二)组织指导全县统计基层建设和统计基础工作，全</w:t>
      </w:r>
    </w:p>
    <w:p>
      <w:pPr>
        <w:spacing w:line="600" w:lineRule="exact"/>
        <w:ind w:firstLine="640" w:firstLineChars="200"/>
        <w:rPr>
          <w:rFonts w:hint="eastAsia"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面实施乡(镇)统计标准化、规范化建设，加强和指导部门统</w:t>
      </w:r>
    </w:p>
    <w:p>
      <w:pPr>
        <w:spacing w:line="600" w:lineRule="exact"/>
        <w:ind w:firstLine="640" w:firstLineChars="200"/>
        <w:rPr>
          <w:rFonts w:hint="eastAsia"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计工作。</w:t>
      </w:r>
    </w:p>
    <w:p>
      <w:pPr>
        <w:spacing w:line="600" w:lineRule="exact"/>
        <w:ind w:firstLine="640" w:firstLineChars="200"/>
        <w:rPr>
          <w:rFonts w:hint="eastAsia"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(十三)全面贯彻落实安全生产方针政策、环境保护和各</w:t>
      </w:r>
    </w:p>
    <w:p>
      <w:pPr>
        <w:spacing w:line="600" w:lineRule="exact"/>
        <w:ind w:firstLine="640" w:firstLineChars="200"/>
        <w:rPr>
          <w:rFonts w:hint="eastAsia"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项工作任务。</w:t>
      </w:r>
    </w:p>
    <w:p>
      <w:pPr>
        <w:spacing w:line="600" w:lineRule="exact"/>
        <w:ind w:firstLine="640" w:firstLineChars="200"/>
        <w:rPr>
          <w:rFonts w:hint="eastAsia"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(十四)深入推进简政放权，全面贯彻落实放管服改革</w:t>
      </w:r>
    </w:p>
    <w:p>
      <w:pPr>
        <w:spacing w:line="600" w:lineRule="exact"/>
        <w:ind w:firstLine="640" w:firstLineChars="200"/>
        <w:rPr>
          <w:rFonts w:hint="eastAsia"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工作。</w:t>
      </w:r>
    </w:p>
    <w:p>
      <w:pPr>
        <w:numPr>
          <w:ilvl w:val="0"/>
          <w:numId w:val="1"/>
        </w:numPr>
        <w:spacing w:line="600" w:lineRule="exact"/>
        <w:ind w:firstLine="640" w:firstLineChars="200"/>
        <w:rPr>
          <w:rFonts w:hint="eastAsia"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承办县委、县政府和州统计局交办的其他事项。</w:t>
      </w:r>
    </w:p>
    <w:p>
      <w:pPr>
        <w:numPr>
          <w:numId w:val="0"/>
        </w:numPr>
        <w:spacing w:line="600" w:lineRule="exact"/>
        <w:ind w:firstLine="640" w:firstLineChars="200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二、机构设置情况</w:t>
      </w:r>
    </w:p>
    <w:p>
      <w:pPr>
        <w:spacing w:line="600" w:lineRule="exact"/>
        <w:ind w:firstLine="643" w:firstLineChars="200"/>
        <w:rPr>
          <w:rFonts w:ascii="楷体_GB2312" w:hAnsi="楷体" w:eastAsia="楷体_GB2312" w:cs="宋体"/>
          <w:b/>
          <w:bCs/>
          <w:kern w:val="0"/>
          <w:sz w:val="32"/>
          <w:szCs w:val="32"/>
        </w:rPr>
      </w:pPr>
      <w:r>
        <w:rPr>
          <w:rFonts w:hint="eastAsia" w:ascii="楷体_GB2312" w:hAnsi="楷体" w:eastAsia="楷体_GB2312" w:cs="宋体"/>
          <w:b/>
          <w:bCs/>
          <w:kern w:val="0"/>
          <w:sz w:val="32"/>
          <w:szCs w:val="32"/>
        </w:rPr>
        <w:t>（一）机关内设机构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统计局现设科室主要有人秘股、综合核算股、普查中心、执法股等。核定行政编制6名，全额事业编制12名</w:t>
      </w:r>
    </w:p>
    <w:p>
      <w:pPr>
        <w:spacing w:line="600" w:lineRule="exact"/>
        <w:ind w:firstLine="640" w:firstLineChars="200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三、部门/单位收支总体情况</w:t>
      </w:r>
    </w:p>
    <w:p>
      <w:pPr>
        <w:spacing w:line="600" w:lineRule="exact"/>
        <w:ind w:firstLine="640" w:firstLineChars="200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按照预算管理有关规定，2024年部门（单位）收支包括机关预算和直属单位预算在内的汇总情况。</w:t>
      </w:r>
    </w:p>
    <w:p>
      <w:pPr>
        <w:spacing w:line="600" w:lineRule="exact"/>
        <w:ind w:firstLine="640" w:firstLineChars="200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2024年部门收支总预算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  <w:t>398.26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万元。按照综合预算的原则，部门（单位）所有收入和支出均纳入部门预算管理。收入包括：一般公共预算拨款收入、政府性基金预算拨款收入、事业收入、事业单位经营收入、其他收入、使用非财政拨款结余、上年结转；支出包括：一般公共服务支出、公共安全支出、教育支出、科学技术支出、社会保障和就业支出、卫生健康支出、交通运输支出、住房保障支出、其他支出。</w:t>
      </w:r>
    </w:p>
    <w:p>
      <w:pPr>
        <w:spacing w:line="600" w:lineRule="exact"/>
        <w:ind w:firstLine="643" w:firstLineChars="200"/>
        <w:rPr>
          <w:rFonts w:ascii="楷体_GB2312" w:hAnsi="楷体" w:eastAsia="楷体_GB2312"/>
          <w:sz w:val="32"/>
          <w:szCs w:val="32"/>
        </w:rPr>
      </w:pPr>
      <w:r>
        <w:rPr>
          <w:rFonts w:hint="eastAsia" w:ascii="楷体_GB2312" w:hAnsi="楷体" w:eastAsia="楷体_GB2312" w:cs="宋体"/>
          <w:b/>
          <w:bCs/>
          <w:kern w:val="0"/>
          <w:sz w:val="32"/>
          <w:szCs w:val="32"/>
        </w:rPr>
        <w:t>（一）收入预算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2024年收入预算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398.26</w:t>
      </w:r>
      <w:r>
        <w:rPr>
          <w:rFonts w:hint="eastAsia" w:ascii="仿宋_GB2312" w:hAnsi="仿宋" w:eastAsia="仿宋_GB2312"/>
          <w:sz w:val="32"/>
          <w:szCs w:val="32"/>
        </w:rPr>
        <w:t>万元（详见部门/单位预算公开表1,2）。包括：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一般公共预算收入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398.26</w:t>
      </w:r>
      <w:r>
        <w:rPr>
          <w:rFonts w:hint="eastAsia" w:ascii="仿宋_GB2312" w:hAnsi="仿宋" w:eastAsia="仿宋_GB2312"/>
          <w:sz w:val="32"/>
          <w:szCs w:val="32"/>
        </w:rPr>
        <w:t>万元，占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100</w:t>
      </w:r>
      <w:r>
        <w:rPr>
          <w:rFonts w:hint="eastAsia" w:ascii="仿宋_GB2312" w:hAnsi="仿宋" w:eastAsia="仿宋_GB2312"/>
          <w:sz w:val="32"/>
          <w:szCs w:val="32"/>
        </w:rPr>
        <w:t>%；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政府性基金预算收入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>万元，占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>%；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上年结转收入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>万元，占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>%；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其他收入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>万元，占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>%。</w:t>
      </w:r>
    </w:p>
    <w:p>
      <w:pPr>
        <w:adjustRightInd w:val="0"/>
        <w:snapToGrid w:val="0"/>
        <w:spacing w:line="640" w:lineRule="exact"/>
        <w:ind w:firstLine="643" w:firstLineChars="200"/>
        <w:contextualSpacing/>
        <w:rPr>
          <w:rFonts w:ascii="楷体_GB2312" w:hAnsi="楷体" w:eastAsia="楷体_GB2312" w:cs="宋体"/>
          <w:b/>
          <w:bCs/>
          <w:kern w:val="0"/>
          <w:sz w:val="32"/>
          <w:szCs w:val="32"/>
        </w:rPr>
      </w:pPr>
      <w:r>
        <w:rPr>
          <w:rFonts w:hint="eastAsia" w:ascii="楷体_GB2312" w:hAnsi="楷体" w:eastAsia="楷体_GB2312" w:cs="宋体"/>
          <w:b/>
          <w:bCs/>
          <w:kern w:val="0"/>
          <w:sz w:val="32"/>
          <w:szCs w:val="32"/>
        </w:rPr>
        <w:t>（二）支出预算</w:t>
      </w:r>
    </w:p>
    <w:p>
      <w:pPr>
        <w:widowControl/>
        <w:adjustRightInd w:val="0"/>
        <w:snapToGrid w:val="0"/>
        <w:spacing w:line="640" w:lineRule="exact"/>
        <w:ind w:firstLine="640" w:firstLineChars="200"/>
        <w:contextualSpacing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2024年支出预算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398.26</w:t>
      </w:r>
      <w:r>
        <w:rPr>
          <w:rFonts w:hint="eastAsia" w:ascii="仿宋_GB2312" w:hAnsi="仿宋" w:eastAsia="仿宋_GB2312"/>
          <w:sz w:val="32"/>
          <w:szCs w:val="32"/>
        </w:rPr>
        <w:t>万元（详见部门/单位预算公开表3）。</w:t>
      </w:r>
      <w:r>
        <w:rPr>
          <w:rStyle w:val="20"/>
          <w:rFonts w:hint="default" w:hAnsi="仿宋"/>
        </w:rPr>
        <w:t>其中：基本支出</w:t>
      </w:r>
      <w:r>
        <w:rPr>
          <w:rStyle w:val="21"/>
          <w:rFonts w:hint="eastAsia" w:ascii="仿宋_GB2312" w:hAnsi="仿宋" w:eastAsia="仿宋_GB2312"/>
          <w:lang w:val="en-US" w:eastAsia="zh-CN"/>
        </w:rPr>
        <w:t>398.26</w:t>
      </w:r>
      <w:r>
        <w:rPr>
          <w:rStyle w:val="20"/>
          <w:rFonts w:hint="default" w:hAnsi="仿宋"/>
        </w:rPr>
        <w:t>万元， 占</w:t>
      </w:r>
      <w:r>
        <w:rPr>
          <w:rStyle w:val="20"/>
          <w:rFonts w:hint="eastAsia" w:hAnsi="仿宋" w:eastAsia="仿宋_GB2312"/>
          <w:lang w:val="en-US" w:eastAsia="zh-CN"/>
        </w:rPr>
        <w:t>100</w:t>
      </w:r>
      <w:r>
        <w:rPr>
          <w:rStyle w:val="21"/>
          <w:rFonts w:hint="eastAsia" w:ascii="仿宋_GB2312" w:hAnsi="仿宋" w:eastAsia="仿宋_GB2312"/>
        </w:rPr>
        <w:t>%</w:t>
      </w:r>
      <w:r>
        <w:rPr>
          <w:rStyle w:val="20"/>
          <w:rFonts w:hint="default" w:hAnsi="仿宋"/>
        </w:rPr>
        <w:t xml:space="preserve">； </w:t>
      </w:r>
    </w:p>
    <w:p>
      <w:pPr>
        <w:adjustRightInd w:val="0"/>
        <w:snapToGrid w:val="0"/>
        <w:spacing w:line="640" w:lineRule="exact"/>
        <w:ind w:firstLine="640" w:firstLineChars="200"/>
        <w:contextualSpacing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四、一般公共预算情况</w:t>
      </w:r>
    </w:p>
    <w:p>
      <w:pPr>
        <w:widowControl/>
        <w:adjustRightInd w:val="0"/>
        <w:snapToGrid w:val="0"/>
        <w:spacing w:line="640" w:lineRule="exact"/>
        <w:ind w:firstLine="640" w:firstLineChars="200"/>
        <w:contextualSpacing/>
        <w:jc w:val="left"/>
        <w:rPr>
          <w:rFonts w:ascii="仿宋_GB2312" w:hAnsi="仿宋" w:eastAsia="仿宋_GB2312"/>
          <w:sz w:val="32"/>
          <w:szCs w:val="32"/>
        </w:rPr>
      </w:pPr>
      <w:r>
        <w:rPr>
          <w:rStyle w:val="21"/>
          <w:rFonts w:hint="eastAsia" w:ascii="仿宋_GB2312" w:hAnsi="仿宋" w:eastAsia="仿宋_GB2312"/>
        </w:rPr>
        <w:t xml:space="preserve">2024 </w:t>
      </w:r>
      <w:r>
        <w:rPr>
          <w:rStyle w:val="20"/>
          <w:rFonts w:hint="default" w:hAnsi="仿宋"/>
        </w:rPr>
        <w:t>年一般公共预算当年支出</w:t>
      </w:r>
      <w:r>
        <w:rPr>
          <w:rStyle w:val="21"/>
          <w:rFonts w:hint="eastAsia" w:ascii="仿宋_GB2312" w:hAnsi="仿宋" w:eastAsia="仿宋_GB2312"/>
          <w:lang w:val="en-US" w:eastAsia="zh-CN"/>
        </w:rPr>
        <w:t>398.26</w:t>
      </w:r>
      <w:r>
        <w:rPr>
          <w:rStyle w:val="20"/>
          <w:rFonts w:hint="default" w:hAnsi="仿宋"/>
        </w:rPr>
        <w:t>万元，包括：一般公共服务支出</w:t>
      </w:r>
      <w:r>
        <w:rPr>
          <w:rStyle w:val="21"/>
          <w:rFonts w:hint="eastAsia" w:ascii="仿宋_GB2312" w:hAnsi="仿宋" w:eastAsia="仿宋_GB2312"/>
          <w:lang w:val="en-US" w:eastAsia="zh-CN"/>
        </w:rPr>
        <w:t>347</w:t>
      </w:r>
      <w:r>
        <w:rPr>
          <w:rStyle w:val="20"/>
          <w:rFonts w:hint="default" w:hAnsi="仿宋"/>
        </w:rPr>
        <w:t>万元、社会保障和就业支出</w:t>
      </w:r>
      <w:r>
        <w:rPr>
          <w:rStyle w:val="21"/>
          <w:rFonts w:hint="eastAsia" w:ascii="仿宋_GB2312" w:hAnsi="仿宋" w:eastAsia="仿宋_GB2312"/>
          <w:lang w:val="en-US" w:eastAsia="zh-CN"/>
        </w:rPr>
        <w:t>11.68</w:t>
      </w:r>
      <w:r>
        <w:rPr>
          <w:rStyle w:val="20"/>
          <w:rFonts w:hint="default" w:hAnsi="仿宋"/>
        </w:rPr>
        <w:t>万元、</w:t>
      </w:r>
      <w:r>
        <w:rPr>
          <w:rStyle w:val="20"/>
          <w:rFonts w:hint="eastAsia" w:hAnsi="仿宋" w:eastAsia="仿宋_GB2312"/>
          <w:lang w:val="en-US" w:eastAsia="zh-CN"/>
        </w:rPr>
        <w:t>卫生健康支出11.81万元，住房保障支出27.77万元。</w:t>
      </w:r>
      <w:r>
        <w:rPr>
          <w:rFonts w:hint="eastAsia" w:ascii="仿宋_GB2312" w:hAnsi="仿宋" w:eastAsia="仿宋_GB2312"/>
          <w:sz w:val="32"/>
          <w:szCs w:val="32"/>
        </w:rPr>
        <w:t>具体安排情况如下</w:t>
      </w:r>
      <w:r>
        <w:rPr>
          <w:rFonts w:hint="eastAsia" w:ascii="仿宋_GB2312" w:hAnsi="微软雅黑" w:eastAsia="仿宋_GB2312"/>
          <w:sz w:val="32"/>
          <w:szCs w:val="32"/>
        </w:rPr>
        <w:t>（详见部门（单位）预算公开表4,5,6,7）</w:t>
      </w:r>
      <w:r>
        <w:rPr>
          <w:rFonts w:hint="eastAsia" w:ascii="仿宋_GB2312" w:hAnsi="仿宋" w:eastAsia="仿宋_GB2312"/>
          <w:sz w:val="32"/>
          <w:szCs w:val="32"/>
        </w:rPr>
        <w:t>：</w:t>
      </w:r>
    </w:p>
    <w:p>
      <w:pPr>
        <w:spacing w:line="640" w:lineRule="exact"/>
        <w:ind w:firstLine="643" w:firstLineChars="200"/>
        <w:contextualSpacing/>
        <w:rPr>
          <w:rFonts w:ascii="楷体_GB2312" w:hAnsi="楷体" w:eastAsia="楷体_GB2312" w:cs="宋体"/>
          <w:b/>
          <w:bCs/>
          <w:kern w:val="0"/>
          <w:sz w:val="32"/>
          <w:szCs w:val="32"/>
        </w:rPr>
      </w:pPr>
      <w:r>
        <w:rPr>
          <w:rFonts w:hint="eastAsia" w:ascii="楷体_GB2312" w:hAnsi="楷体" w:eastAsia="楷体_GB2312" w:cs="宋体"/>
          <w:b/>
          <w:bCs/>
          <w:kern w:val="0"/>
          <w:sz w:val="32"/>
          <w:szCs w:val="32"/>
        </w:rPr>
        <w:t>（一）基本支出</w:t>
      </w:r>
    </w:p>
    <w:p>
      <w:pPr>
        <w:widowControl/>
        <w:spacing w:line="640" w:lineRule="exact"/>
        <w:ind w:firstLine="640" w:firstLineChars="200"/>
        <w:contextualSpacing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2024年基本支出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398.26</w:t>
      </w:r>
      <w:r>
        <w:rPr>
          <w:rFonts w:hint="eastAsia" w:ascii="仿宋_GB2312" w:hAnsi="仿宋" w:eastAsia="仿宋_GB2312"/>
          <w:sz w:val="32"/>
          <w:szCs w:val="32"/>
        </w:rPr>
        <w:t>万元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。</w:t>
      </w:r>
      <w:r>
        <w:rPr>
          <w:rFonts w:hint="eastAsia" w:ascii="仿宋_GB2312" w:hAnsi="仿宋" w:eastAsia="仿宋_GB2312"/>
          <w:sz w:val="32"/>
          <w:szCs w:val="32"/>
        </w:rPr>
        <w:t>其中：人员经费支出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347.26</w:t>
      </w:r>
      <w:r>
        <w:rPr>
          <w:rFonts w:hint="eastAsia" w:ascii="仿宋_GB2312" w:hAnsi="仿宋" w:eastAsia="仿宋_GB2312"/>
          <w:sz w:val="32"/>
          <w:szCs w:val="32"/>
        </w:rPr>
        <w:t>万元，主要包括：基本工资、津贴补贴、奖金、、绩效工资、机关事业单位基本养老保险缴费、职业年金缴费、职工基本医疗保险缴费、公务员医疗补助缴费、其他社会保障缴费、住房公积金、医疗费、其他工资福利支出、离休费、退休费、退职（役）费、抚恤金、生活补助、救济费、医疗费补助、助学金、奖励金、个人农业生产补贴、代缴社会保险费 、其他对个人和家庭的补助等。</w:t>
      </w:r>
    </w:p>
    <w:p>
      <w:pPr>
        <w:widowControl/>
        <w:adjustRightInd w:val="0"/>
        <w:snapToGrid w:val="0"/>
        <w:spacing w:line="640" w:lineRule="exact"/>
        <w:ind w:firstLine="640" w:firstLineChars="200"/>
        <w:contextualSpacing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公用经费支出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51</w:t>
      </w:r>
      <w:r>
        <w:rPr>
          <w:rFonts w:hint="eastAsia" w:ascii="仿宋_GB2312" w:hAnsi="仿宋" w:eastAsia="仿宋_GB2312"/>
          <w:sz w:val="32"/>
          <w:szCs w:val="32"/>
        </w:rPr>
        <w:t>万元，主要包括：办公费、印刷费、咨询费、手续费、水费、电费、邮电费、取暖费、物业管理费、差旅费、劳务费、委托业务费、其他交通费用、税金及附加费用、其他商品和服务支出、办公设备购置、专用设备购置等。</w:t>
      </w:r>
    </w:p>
    <w:p>
      <w:pPr>
        <w:adjustRightInd w:val="0"/>
        <w:snapToGrid w:val="0"/>
        <w:spacing w:line="640" w:lineRule="exact"/>
        <w:ind w:firstLine="643" w:firstLineChars="200"/>
        <w:contextualSpacing/>
        <w:rPr>
          <w:rFonts w:ascii="楷体_GB2312" w:hAnsi="楷体" w:eastAsia="楷体_GB2312" w:cs="宋体"/>
          <w:b/>
          <w:bCs/>
          <w:kern w:val="0"/>
          <w:sz w:val="32"/>
          <w:szCs w:val="32"/>
        </w:rPr>
      </w:pPr>
      <w:r>
        <w:rPr>
          <w:rFonts w:hint="eastAsia" w:ascii="楷体_GB2312" w:hAnsi="楷体" w:eastAsia="楷体_GB2312" w:cs="宋体"/>
          <w:b/>
          <w:bCs/>
          <w:kern w:val="0"/>
          <w:sz w:val="32"/>
          <w:szCs w:val="32"/>
        </w:rPr>
        <w:t>（</w:t>
      </w:r>
      <w:r>
        <w:rPr>
          <w:rFonts w:hint="eastAsia" w:ascii="楷体_GB2312" w:hAnsi="楷体" w:eastAsia="楷体_GB2312" w:cs="宋体"/>
          <w:b/>
          <w:bCs/>
          <w:kern w:val="0"/>
          <w:sz w:val="32"/>
          <w:szCs w:val="32"/>
          <w:lang w:val="en-US" w:eastAsia="zh-CN"/>
        </w:rPr>
        <w:t>二</w:t>
      </w:r>
      <w:r>
        <w:rPr>
          <w:rFonts w:hint="eastAsia" w:ascii="楷体_GB2312" w:hAnsi="楷体" w:eastAsia="楷体_GB2312" w:cs="宋体"/>
          <w:b/>
          <w:bCs/>
          <w:kern w:val="0"/>
          <w:sz w:val="32"/>
          <w:szCs w:val="32"/>
        </w:rPr>
        <w:t>）支出功能分类说明</w:t>
      </w:r>
    </w:p>
    <w:p>
      <w:pPr>
        <w:widowControl/>
        <w:adjustRightInd w:val="0"/>
        <w:snapToGrid w:val="0"/>
        <w:spacing w:line="640" w:lineRule="exact"/>
        <w:ind w:firstLine="640" w:firstLineChars="200"/>
        <w:contextualSpacing/>
        <w:jc w:val="left"/>
        <w:rPr>
          <w:rFonts w:hint="default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一般公共服务（ 类） 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统计及相关事务支出</w:t>
      </w:r>
      <w:r>
        <w:rPr>
          <w:rFonts w:hint="eastAsia" w:ascii="仿宋_GB2312" w:eastAsia="仿宋_GB2312"/>
          <w:color w:val="000000"/>
          <w:sz w:val="32"/>
          <w:szCs w:val="32"/>
        </w:rPr>
        <w:t>（ 款） 派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事业运行</w:t>
      </w:r>
      <w:r>
        <w:rPr>
          <w:rFonts w:hint="eastAsia" w:ascii="仿宋_GB2312" w:eastAsia="仿宋_GB2312"/>
          <w:color w:val="000000"/>
          <w:sz w:val="32"/>
          <w:szCs w:val="32"/>
        </w:rPr>
        <w:t>（ 项）</w:t>
      </w:r>
      <w:r>
        <w:rPr>
          <w:rFonts w:hint="eastAsia" w:ascii="仿宋_GB2312" w:hAnsi="TimesNewRomanPSMT" w:eastAsia="仿宋_GB2312"/>
          <w:color w:val="000000"/>
          <w:sz w:val="32"/>
          <w:szCs w:val="32"/>
        </w:rPr>
        <w:t xml:space="preserve">2024 </w:t>
      </w:r>
      <w:r>
        <w:rPr>
          <w:rFonts w:hint="eastAsia" w:ascii="仿宋_GB2312" w:eastAsia="仿宋_GB2312"/>
          <w:color w:val="000000"/>
          <w:sz w:val="32"/>
          <w:szCs w:val="32"/>
        </w:rPr>
        <w:t>年预算数为</w:t>
      </w:r>
      <w:r>
        <w:rPr>
          <w:rFonts w:hint="eastAsia" w:ascii="仿宋_GB2312" w:hAnsi="TimesNewRomanPSMT" w:eastAsia="仿宋_GB2312"/>
          <w:color w:val="000000"/>
          <w:sz w:val="32"/>
          <w:szCs w:val="32"/>
          <w:lang w:val="en-US" w:eastAsia="zh-CN"/>
        </w:rPr>
        <w:t>398.26</w:t>
      </w:r>
      <w:r>
        <w:rPr>
          <w:rFonts w:hint="eastAsia" w:ascii="仿宋_GB2312" w:eastAsia="仿宋_GB2312"/>
          <w:color w:val="000000"/>
          <w:sz w:val="32"/>
          <w:szCs w:val="32"/>
        </w:rPr>
        <w:t>万元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。</w:t>
      </w:r>
    </w:p>
    <w:p>
      <w:pPr>
        <w:adjustRightInd w:val="0"/>
        <w:snapToGrid w:val="0"/>
        <w:spacing w:line="640" w:lineRule="exact"/>
        <w:ind w:firstLine="640" w:firstLineChars="200"/>
        <w:contextualSpacing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五、部门（单位）一般公共预算财政拨款“三公”经费、培训费、会议费等情况</w:t>
      </w:r>
    </w:p>
    <w:p>
      <w:pPr>
        <w:adjustRightInd w:val="0"/>
        <w:snapToGrid w:val="0"/>
        <w:spacing w:line="640" w:lineRule="exact"/>
        <w:ind w:firstLine="643" w:firstLineChars="200"/>
        <w:contextualSpacing/>
        <w:rPr>
          <w:rFonts w:ascii="楷体_GB2312" w:hAnsi="楷体" w:eastAsia="楷体_GB2312" w:cs="宋体"/>
          <w:b/>
          <w:bCs/>
          <w:kern w:val="0"/>
          <w:sz w:val="32"/>
          <w:szCs w:val="32"/>
        </w:rPr>
      </w:pPr>
      <w:r>
        <w:rPr>
          <w:rFonts w:hint="eastAsia" w:ascii="楷体_GB2312" w:hAnsi="楷体" w:eastAsia="楷体_GB2312" w:cs="宋体"/>
          <w:b/>
          <w:bCs/>
          <w:kern w:val="0"/>
          <w:sz w:val="32"/>
          <w:szCs w:val="32"/>
        </w:rPr>
        <w:t>（一）“三公”经费情况说明</w:t>
      </w:r>
    </w:p>
    <w:p>
      <w:pPr>
        <w:adjustRightInd w:val="0"/>
        <w:snapToGrid w:val="0"/>
        <w:spacing w:line="640" w:lineRule="exact"/>
        <w:ind w:firstLine="640" w:firstLineChars="200"/>
        <w:contextualSpacing/>
        <w:rPr>
          <w:rFonts w:ascii="仿宋_GB2312" w:hAnsi="仿宋" w:eastAsia="仿宋_GB2312" w:cs="宋体"/>
          <w:b/>
          <w:kern w:val="0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“三公”经费预算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>万元，较2023年预算增加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>万元。</w:t>
      </w:r>
    </w:p>
    <w:p>
      <w:pPr>
        <w:widowControl/>
        <w:numPr>
          <w:ilvl w:val="0"/>
          <w:numId w:val="2"/>
        </w:numPr>
        <w:adjustRightInd w:val="0"/>
        <w:snapToGrid w:val="0"/>
        <w:spacing w:line="640" w:lineRule="exact"/>
        <w:ind w:firstLine="640" w:firstLineChars="200"/>
        <w:contextualSpacing/>
        <w:jc w:val="lef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因公出国（境）费用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>万元，</w:t>
      </w:r>
    </w:p>
    <w:p>
      <w:pPr>
        <w:widowControl/>
        <w:numPr>
          <w:numId w:val="0"/>
        </w:numPr>
        <w:adjustRightInd w:val="0"/>
        <w:snapToGrid w:val="0"/>
        <w:spacing w:line="640" w:lineRule="exact"/>
        <w:ind w:firstLine="640" w:firstLineChars="200"/>
        <w:contextualSpacing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2.公务接待费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>万元，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与上年相比无变化</w:t>
      </w:r>
      <w:r>
        <w:rPr>
          <w:rFonts w:hint="eastAsia" w:ascii="仿宋_GB2312" w:hAnsi="仿宋" w:eastAsia="仿宋_GB2312"/>
          <w:sz w:val="32"/>
          <w:szCs w:val="32"/>
        </w:rPr>
        <w:t>。</w:t>
      </w:r>
    </w:p>
    <w:p>
      <w:pPr>
        <w:widowControl/>
        <w:adjustRightInd w:val="0"/>
        <w:snapToGrid w:val="0"/>
        <w:spacing w:line="640" w:lineRule="exact"/>
        <w:ind w:firstLine="640" w:firstLineChars="200"/>
        <w:contextualSpacing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3.公务用车购置及运行维护费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>万元</w:t>
      </w:r>
    </w:p>
    <w:p>
      <w:pPr>
        <w:adjustRightInd w:val="0"/>
        <w:snapToGrid w:val="0"/>
        <w:spacing w:line="640" w:lineRule="exact"/>
        <w:ind w:firstLine="643" w:firstLineChars="200"/>
        <w:contextualSpacing/>
        <w:rPr>
          <w:rFonts w:ascii="楷体_GB2312" w:hAnsi="楷体" w:eastAsia="楷体_GB2312" w:cs="宋体"/>
          <w:b/>
          <w:bCs/>
          <w:kern w:val="0"/>
          <w:sz w:val="32"/>
          <w:szCs w:val="32"/>
        </w:rPr>
      </w:pPr>
      <w:r>
        <w:rPr>
          <w:rFonts w:hint="eastAsia" w:ascii="楷体_GB2312" w:hAnsi="楷体" w:eastAsia="楷体_GB2312" w:cs="宋体"/>
          <w:b/>
          <w:bCs/>
          <w:kern w:val="0"/>
          <w:sz w:val="32"/>
          <w:szCs w:val="32"/>
        </w:rPr>
        <w:t>（二）培训费预算情况说明</w:t>
      </w:r>
    </w:p>
    <w:p>
      <w:pPr>
        <w:widowControl/>
        <w:adjustRightInd w:val="0"/>
        <w:snapToGrid w:val="0"/>
        <w:spacing w:line="640" w:lineRule="exact"/>
        <w:ind w:firstLine="640" w:firstLineChars="200"/>
        <w:contextualSpacing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4.培训费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>万元，较2023年预算增加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>万元，增长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>%，增长。</w:t>
      </w:r>
    </w:p>
    <w:p>
      <w:pPr>
        <w:adjustRightInd w:val="0"/>
        <w:snapToGrid w:val="0"/>
        <w:spacing w:line="640" w:lineRule="exact"/>
        <w:ind w:firstLine="643" w:firstLineChars="200"/>
        <w:contextualSpacing/>
        <w:rPr>
          <w:rFonts w:ascii="楷体_GB2312" w:hAnsi="楷体" w:eastAsia="楷体_GB2312" w:cs="宋体"/>
          <w:b/>
          <w:bCs/>
          <w:kern w:val="0"/>
          <w:sz w:val="32"/>
          <w:szCs w:val="32"/>
        </w:rPr>
      </w:pPr>
      <w:r>
        <w:rPr>
          <w:rFonts w:hint="eastAsia" w:ascii="楷体_GB2312" w:hAnsi="楷体" w:eastAsia="楷体_GB2312" w:cs="宋体"/>
          <w:b/>
          <w:bCs/>
          <w:kern w:val="0"/>
          <w:sz w:val="32"/>
          <w:szCs w:val="32"/>
        </w:rPr>
        <w:t>（三）会议费预算情况说明</w:t>
      </w:r>
    </w:p>
    <w:p>
      <w:pPr>
        <w:widowControl/>
        <w:adjustRightInd w:val="0"/>
        <w:snapToGrid w:val="0"/>
        <w:spacing w:line="640" w:lineRule="exact"/>
        <w:ind w:firstLine="640" w:firstLineChars="200"/>
        <w:contextualSpacing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5.会议费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>万元，较2023年预算增加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>万元，增长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 xml:space="preserve"> %。</w:t>
      </w:r>
    </w:p>
    <w:p>
      <w:pPr>
        <w:widowControl/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640" w:lineRule="exact"/>
        <w:ind w:firstLine="640" w:firstLineChars="200"/>
        <w:contextualSpacing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六、一般公共预算财政拨款机关运行经费情况</w:t>
      </w:r>
    </w:p>
    <w:p>
      <w:pPr>
        <w:widowControl/>
        <w:adjustRightInd w:val="0"/>
        <w:snapToGrid w:val="0"/>
        <w:spacing w:line="640" w:lineRule="exact"/>
        <w:ind w:firstLine="640" w:firstLineChars="200"/>
        <w:contextualSpacing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机关运行经费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51</w:t>
      </w:r>
      <w:r>
        <w:rPr>
          <w:rFonts w:hint="eastAsia" w:ascii="仿宋_GB2312" w:hAnsi="仿宋" w:eastAsia="仿宋_GB2312"/>
          <w:sz w:val="32"/>
          <w:szCs w:val="32"/>
        </w:rPr>
        <w:t>万元，较2023年预算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51万元</w:t>
      </w:r>
      <w:r>
        <w:rPr>
          <w:rFonts w:hint="eastAsia" w:ascii="仿宋_GB2312" w:hAnsi="仿宋" w:eastAsia="仿宋_GB2312"/>
          <w:sz w:val="32"/>
          <w:szCs w:val="32"/>
        </w:rPr>
        <w:t>，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与上年无变化</w:t>
      </w:r>
      <w:r>
        <w:rPr>
          <w:rFonts w:hint="eastAsia" w:ascii="仿宋_GB2312" w:hAnsi="仿宋" w:eastAsia="仿宋_GB2312"/>
          <w:sz w:val="32"/>
          <w:szCs w:val="32"/>
        </w:rPr>
        <w:t>。</w:t>
      </w:r>
    </w:p>
    <w:p>
      <w:pPr>
        <w:adjustRightInd w:val="0"/>
        <w:snapToGrid w:val="0"/>
        <w:spacing w:line="640" w:lineRule="exact"/>
        <w:ind w:firstLine="640" w:firstLineChars="200"/>
        <w:contextualSpacing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七、政府采购安排情况</w:t>
      </w:r>
    </w:p>
    <w:p>
      <w:pPr>
        <w:widowControl/>
        <w:adjustRightInd w:val="0"/>
        <w:snapToGrid w:val="0"/>
        <w:spacing w:line="640" w:lineRule="exact"/>
        <w:ind w:firstLine="640" w:firstLineChars="200"/>
        <w:contextualSpacing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2024年，部门（单位）政府采购预算总额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>万元，其中：政府采购货物预算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>万元，政府采购工程预算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>万元，政府采购服务预算    万元。</w:t>
      </w:r>
    </w:p>
    <w:p>
      <w:pPr>
        <w:widowControl/>
        <w:adjustRightInd w:val="0"/>
        <w:snapToGrid w:val="0"/>
        <w:spacing w:line="640" w:lineRule="exact"/>
        <w:ind w:firstLine="640" w:firstLineChars="200"/>
        <w:contextualSpacing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2024年，部门（单位）面向中小企业预留政府采购项目预算金额  万元，小微企业预留政府采购项目预算金额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>万元。</w:t>
      </w:r>
    </w:p>
    <w:p>
      <w:pPr>
        <w:adjustRightInd w:val="0"/>
        <w:snapToGrid w:val="0"/>
        <w:spacing w:line="640" w:lineRule="exact"/>
        <w:ind w:firstLine="640" w:firstLineChars="200"/>
        <w:contextualSpacing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八、国有资产占用情况</w:t>
      </w:r>
    </w:p>
    <w:p>
      <w:pPr>
        <w:widowControl/>
        <w:adjustRightInd w:val="0"/>
        <w:snapToGrid w:val="0"/>
        <w:spacing w:line="640" w:lineRule="exact"/>
        <w:ind w:firstLine="640" w:firstLineChars="200"/>
        <w:contextualSpacing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上年末固定资产金额为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175.4</w:t>
      </w:r>
      <w:r>
        <w:rPr>
          <w:rFonts w:hint="eastAsia" w:ascii="仿宋_GB2312" w:hAnsi="仿宋" w:eastAsia="仿宋_GB2312"/>
          <w:sz w:val="32"/>
          <w:szCs w:val="32"/>
        </w:rPr>
        <w:t xml:space="preserve"> </w:t>
      </w:r>
      <w:bookmarkStart w:id="0" w:name="_GoBack"/>
      <w:bookmarkEnd w:id="0"/>
      <w:r>
        <w:rPr>
          <w:rFonts w:hint="eastAsia" w:ascii="仿宋_GB2312" w:hAnsi="仿宋" w:eastAsia="仿宋_GB2312"/>
          <w:sz w:val="32"/>
          <w:szCs w:val="32"/>
        </w:rPr>
        <w:t>万元。</w:t>
      </w:r>
    </w:p>
    <w:p>
      <w:pPr>
        <w:adjustRightInd w:val="0"/>
        <w:snapToGrid w:val="0"/>
        <w:spacing w:line="640" w:lineRule="exact"/>
        <w:ind w:firstLine="640" w:firstLineChars="200"/>
        <w:contextualSpacing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九、其他重要事项情况说明</w:t>
      </w:r>
    </w:p>
    <w:p>
      <w:pPr>
        <w:adjustRightInd w:val="0"/>
        <w:snapToGrid w:val="0"/>
        <w:spacing w:line="640" w:lineRule="exact"/>
        <w:ind w:firstLine="643" w:firstLineChars="200"/>
        <w:contextualSpacing/>
        <w:rPr>
          <w:rFonts w:ascii="楷体_GB2312" w:hAnsi="楷体" w:eastAsia="楷体_GB2312" w:cs="宋体"/>
          <w:b/>
          <w:bCs/>
          <w:kern w:val="0"/>
          <w:sz w:val="32"/>
          <w:szCs w:val="32"/>
        </w:rPr>
      </w:pPr>
      <w:r>
        <w:rPr>
          <w:rFonts w:hint="eastAsia" w:ascii="楷体_GB2312" w:hAnsi="楷体" w:eastAsia="楷体_GB2312" w:cs="宋体"/>
          <w:b/>
          <w:bCs/>
          <w:kern w:val="0"/>
          <w:sz w:val="32"/>
          <w:szCs w:val="32"/>
        </w:rPr>
        <w:t>（一）政府性基金预算支出情况</w:t>
      </w:r>
    </w:p>
    <w:p>
      <w:pPr>
        <w:widowControl/>
        <w:adjustRightInd w:val="0"/>
        <w:snapToGrid w:val="0"/>
        <w:spacing w:line="640" w:lineRule="exact"/>
        <w:ind w:firstLine="640" w:firstLineChars="200"/>
        <w:contextualSpacing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2024年使用政府性基金预算拨款安排支出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>万元，较2023年预算增加（减少）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>万元，增长（下降）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>%。</w:t>
      </w:r>
    </w:p>
    <w:p>
      <w:pPr>
        <w:widowControl/>
        <w:adjustRightInd w:val="0"/>
        <w:snapToGrid w:val="0"/>
        <w:spacing w:line="640" w:lineRule="exact"/>
        <w:ind w:firstLine="640" w:firstLineChars="200"/>
        <w:contextualSpacing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1．交通运输支出（ 类） 民航发展基金支出（ 款） 民航安全（ 项）2024 年预算数为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>万元，较2023 年预算减少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>万元。</w:t>
      </w:r>
    </w:p>
    <w:p>
      <w:pPr>
        <w:widowControl/>
        <w:adjustRightInd w:val="0"/>
        <w:snapToGrid w:val="0"/>
        <w:spacing w:line="640" w:lineRule="exact"/>
        <w:ind w:firstLine="640" w:firstLineChars="200"/>
        <w:contextualSpacing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说明:如果2024年未安排政府性基金预算支出，请写成“未安排预算，政府性基金预算支出情况表为空表。”</w:t>
      </w:r>
    </w:p>
    <w:p>
      <w:pPr>
        <w:adjustRightInd w:val="0"/>
        <w:snapToGrid w:val="0"/>
        <w:spacing w:line="640" w:lineRule="exact"/>
        <w:ind w:firstLine="643" w:firstLineChars="200"/>
        <w:contextualSpacing/>
        <w:rPr>
          <w:rFonts w:ascii="楷体_GB2312" w:hAnsi="楷体" w:eastAsia="楷体_GB2312" w:cs="宋体"/>
          <w:b/>
          <w:bCs/>
          <w:kern w:val="0"/>
          <w:sz w:val="32"/>
          <w:szCs w:val="32"/>
        </w:rPr>
      </w:pPr>
      <w:r>
        <w:rPr>
          <w:rFonts w:hint="eastAsia" w:ascii="楷体_GB2312" w:hAnsi="楷体" w:eastAsia="楷体_GB2312" w:cs="宋体"/>
          <w:b/>
          <w:bCs/>
          <w:kern w:val="0"/>
          <w:sz w:val="32"/>
          <w:szCs w:val="32"/>
        </w:rPr>
        <w:t>（二）非税收入情况</w:t>
      </w:r>
    </w:p>
    <w:p>
      <w:pPr>
        <w:widowControl/>
        <w:adjustRightInd w:val="0"/>
        <w:snapToGrid w:val="0"/>
        <w:spacing w:line="640" w:lineRule="exact"/>
        <w:ind w:firstLine="640" w:firstLineChars="200"/>
        <w:contextualSpacing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2024年本部门/单位涉及非税收入，2024年计划征收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>万元。其中：中央（省级）批准设立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>个。</w:t>
      </w:r>
    </w:p>
    <w:p>
      <w:pPr>
        <w:widowControl/>
        <w:adjustRightInd w:val="0"/>
        <w:snapToGrid w:val="0"/>
        <w:spacing w:line="640" w:lineRule="exact"/>
        <w:ind w:firstLine="640" w:firstLineChars="200"/>
        <w:contextualSpacing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说明：如果2024年无非税收入，请写成“本部门/单位2024年</w:t>
      </w:r>
      <w:r>
        <w:rPr>
          <w:rFonts w:ascii="仿宋_GB2312" w:hAnsi="仿宋" w:eastAsia="仿宋_GB2312"/>
          <w:sz w:val="32"/>
          <w:szCs w:val="32"/>
        </w:rPr>
        <w:t>无非税收入</w:t>
      </w:r>
      <w:r>
        <w:rPr>
          <w:rFonts w:hint="eastAsia" w:ascii="仿宋_GB2312" w:hAnsi="仿宋" w:eastAsia="仿宋_GB2312"/>
          <w:sz w:val="32"/>
          <w:szCs w:val="32"/>
        </w:rPr>
        <w:t>。”</w:t>
      </w:r>
    </w:p>
    <w:p>
      <w:pPr>
        <w:adjustRightInd w:val="0"/>
        <w:snapToGrid w:val="0"/>
        <w:spacing w:line="640" w:lineRule="exact"/>
        <w:ind w:firstLine="643" w:firstLineChars="200"/>
        <w:contextualSpacing/>
        <w:rPr>
          <w:rFonts w:ascii="楷体_GB2312" w:hAnsi="楷体" w:eastAsia="楷体_GB2312" w:cs="宋体"/>
          <w:b/>
          <w:bCs/>
          <w:kern w:val="0"/>
          <w:sz w:val="32"/>
          <w:szCs w:val="32"/>
        </w:rPr>
      </w:pPr>
      <w:r>
        <w:rPr>
          <w:rFonts w:hint="eastAsia" w:ascii="楷体_GB2312" w:hAnsi="楷体" w:eastAsia="楷体_GB2312" w:cs="宋体"/>
          <w:b/>
          <w:bCs/>
          <w:kern w:val="0"/>
          <w:sz w:val="32"/>
          <w:szCs w:val="32"/>
        </w:rPr>
        <w:t>（三）重点项目情况</w:t>
      </w:r>
    </w:p>
    <w:p>
      <w:pPr>
        <w:widowControl/>
        <w:adjustRightInd w:val="0"/>
        <w:snapToGrid w:val="0"/>
        <w:spacing w:line="640" w:lineRule="exact"/>
        <w:ind w:firstLine="640" w:firstLineChars="200"/>
        <w:contextualSpacing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本部门/单位年初预算未安排项目支出，无重点项目说明。</w:t>
      </w:r>
    </w:p>
    <w:p>
      <w:pPr>
        <w:adjustRightInd w:val="0"/>
        <w:snapToGrid w:val="0"/>
        <w:spacing w:line="640" w:lineRule="exact"/>
        <w:ind w:firstLine="643" w:firstLineChars="200"/>
        <w:contextualSpacing/>
        <w:rPr>
          <w:rFonts w:ascii="楷体_GB2312" w:hAnsi="楷体" w:eastAsia="楷体_GB2312" w:cs="宋体"/>
          <w:b/>
          <w:bCs/>
          <w:kern w:val="0"/>
          <w:sz w:val="32"/>
          <w:szCs w:val="32"/>
        </w:rPr>
      </w:pPr>
      <w:r>
        <w:rPr>
          <w:rFonts w:hint="eastAsia" w:ascii="楷体_GB2312" w:hAnsi="楷体" w:eastAsia="楷体_GB2312" w:cs="宋体"/>
          <w:b/>
          <w:bCs/>
          <w:kern w:val="0"/>
          <w:sz w:val="32"/>
          <w:szCs w:val="32"/>
        </w:rPr>
        <w:t>（</w:t>
      </w:r>
      <w:r>
        <w:rPr>
          <w:rFonts w:hint="eastAsia" w:ascii="楷体_GB2312" w:hAnsi="楷体" w:eastAsia="楷体_GB2312" w:cs="宋体"/>
          <w:b/>
          <w:bCs/>
          <w:kern w:val="0"/>
          <w:sz w:val="32"/>
          <w:szCs w:val="32"/>
          <w:lang w:val="en-US" w:eastAsia="zh-CN"/>
        </w:rPr>
        <w:t>四</w:t>
      </w:r>
      <w:r>
        <w:rPr>
          <w:rFonts w:hint="eastAsia" w:ascii="楷体_GB2312" w:hAnsi="楷体" w:eastAsia="楷体_GB2312" w:cs="宋体"/>
          <w:b/>
          <w:bCs/>
          <w:kern w:val="0"/>
          <w:sz w:val="32"/>
          <w:szCs w:val="32"/>
        </w:rPr>
        <w:t>）国有资本经营预算支出情况</w:t>
      </w:r>
    </w:p>
    <w:p>
      <w:pPr>
        <w:widowControl/>
        <w:adjustRightInd w:val="0"/>
        <w:snapToGrid w:val="0"/>
        <w:spacing w:line="640" w:lineRule="exact"/>
        <w:ind w:firstLine="640" w:firstLineChars="200"/>
        <w:contextualSpacing/>
        <w:jc w:val="left"/>
        <w:rPr>
          <w:rFonts w:ascii="仿宋_GB2312" w:hAnsi="楷体" w:eastAsia="仿宋_GB2312"/>
          <w:sz w:val="32"/>
          <w:szCs w:val="32"/>
        </w:rPr>
      </w:pPr>
      <w:r>
        <w:rPr>
          <w:rFonts w:hint="eastAsia" w:ascii="仿宋_GB2312" w:hAnsi="楷体" w:eastAsia="仿宋_GB2312"/>
          <w:sz w:val="32"/>
          <w:szCs w:val="32"/>
        </w:rPr>
        <w:t>未安排预算，国有资本经营预算支出情况表为空表。</w:t>
      </w:r>
    </w:p>
    <w:p>
      <w:pPr>
        <w:adjustRightInd w:val="0"/>
        <w:snapToGrid w:val="0"/>
        <w:spacing w:line="640" w:lineRule="exact"/>
        <w:ind w:firstLine="640" w:firstLineChars="200"/>
        <w:contextualSpacing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十、预算绩效管理情况</w:t>
      </w:r>
    </w:p>
    <w:p>
      <w:pPr>
        <w:adjustRightInd w:val="0"/>
        <w:snapToGrid w:val="0"/>
        <w:spacing w:line="640" w:lineRule="exact"/>
        <w:ind w:firstLine="643" w:firstLineChars="200"/>
        <w:contextualSpacing/>
        <w:rPr>
          <w:rFonts w:ascii="楷体_GB2312" w:hAnsi="楷体" w:eastAsia="楷体_GB2312" w:cs="宋体"/>
          <w:b/>
          <w:bCs/>
          <w:kern w:val="0"/>
          <w:sz w:val="32"/>
          <w:szCs w:val="32"/>
        </w:rPr>
      </w:pPr>
      <w:r>
        <w:rPr>
          <w:rFonts w:hint="eastAsia" w:ascii="楷体_GB2312" w:hAnsi="楷体" w:eastAsia="楷体_GB2312" w:cs="宋体"/>
          <w:b/>
          <w:bCs/>
          <w:kern w:val="0"/>
          <w:sz w:val="32"/>
          <w:szCs w:val="32"/>
        </w:rPr>
        <w:t>（一）2023年预算绩效管理工作情况。</w:t>
      </w:r>
    </w:p>
    <w:p>
      <w:pPr>
        <w:widowControl/>
        <w:adjustRightInd w:val="0"/>
        <w:snapToGrid w:val="0"/>
        <w:spacing w:line="640" w:lineRule="exact"/>
        <w:ind w:firstLine="640" w:firstLineChars="200"/>
        <w:contextualSpacing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按照《中共中央 国务院关于全面实施预算绩效管理的意见》《中共甘肃省委 甘肃省人民政府关于全面实施预算绩效管理的实施意见》等相关要求，我们将绩效理念和方法融入预算编制、执行、决算和监督全过程认真开展各项工作。</w:t>
      </w:r>
    </w:p>
    <w:p>
      <w:pPr>
        <w:widowControl/>
        <w:adjustRightInd w:val="0"/>
        <w:snapToGrid w:val="0"/>
        <w:spacing w:line="640" w:lineRule="exact"/>
        <w:ind w:firstLine="643" w:firstLineChars="200"/>
        <w:contextualSpacing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1.绩效目标管理情况。</w:t>
      </w:r>
      <w:r>
        <w:rPr>
          <w:rFonts w:hint="eastAsia" w:ascii="仿宋_GB2312" w:hAnsi="仿宋" w:eastAsia="仿宋_GB2312"/>
          <w:sz w:val="32"/>
          <w:szCs w:val="32"/>
        </w:rPr>
        <w:t>2023年度，按照“谁申请资金，谁设置目标”的原则，纳入部门预算管理的</w:t>
      </w:r>
      <w:r>
        <w:rPr>
          <w:rFonts w:hint="eastAsia" w:ascii="仿宋_GB2312" w:hAnsi="CIDFont+F6" w:eastAsia="仿宋_GB2312"/>
          <w:color w:val="000000"/>
          <w:sz w:val="32"/>
          <w:szCs w:val="32"/>
        </w:rPr>
        <w:t>部门/单位</w:t>
      </w:r>
      <w:r>
        <w:rPr>
          <w:rFonts w:hint="eastAsia" w:ascii="仿宋_GB2312" w:hAnsi="仿宋" w:eastAsia="仿宋_GB2312"/>
          <w:sz w:val="32"/>
          <w:szCs w:val="32"/>
        </w:rPr>
        <w:t>整体支出和项目绩效目标   个，按规定随年度预算一并公开项目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>个，公开率为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100</w:t>
      </w:r>
      <w:r>
        <w:rPr>
          <w:rFonts w:hint="eastAsia" w:ascii="仿宋_GB2312" w:hAnsi="仿宋" w:eastAsia="仿宋_GB2312"/>
          <w:sz w:val="32"/>
          <w:szCs w:val="32"/>
        </w:rPr>
        <w:t xml:space="preserve"> %。</w:t>
      </w:r>
    </w:p>
    <w:p>
      <w:pPr>
        <w:widowControl/>
        <w:adjustRightInd w:val="0"/>
        <w:snapToGrid w:val="0"/>
        <w:spacing w:line="640" w:lineRule="exact"/>
        <w:ind w:firstLine="643" w:firstLineChars="200"/>
        <w:contextualSpacing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2.绩效运行监控情况。</w:t>
      </w:r>
      <w:r>
        <w:rPr>
          <w:rFonts w:hint="eastAsia" w:ascii="仿宋_GB2312" w:hAnsi="仿宋" w:eastAsia="仿宋_GB2312"/>
          <w:sz w:val="32"/>
          <w:szCs w:val="32"/>
        </w:rPr>
        <w:t>2023年7月，组织开展1-6月绩效运行监控项目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>个，占本</w:t>
      </w:r>
      <w:r>
        <w:rPr>
          <w:rFonts w:hint="eastAsia" w:ascii="仿宋_GB2312" w:hAnsi="CIDFont+F6" w:eastAsia="仿宋_GB2312"/>
          <w:color w:val="000000"/>
          <w:sz w:val="32"/>
          <w:szCs w:val="32"/>
        </w:rPr>
        <w:t>部门/单位</w:t>
      </w:r>
      <w:r>
        <w:rPr>
          <w:rFonts w:hint="eastAsia" w:ascii="仿宋_GB2312" w:hAnsi="仿宋" w:eastAsia="仿宋_GB2312"/>
          <w:sz w:val="32"/>
          <w:szCs w:val="32"/>
        </w:rPr>
        <w:t>项目的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100</w:t>
      </w:r>
      <w:r>
        <w:rPr>
          <w:rFonts w:hint="eastAsia" w:ascii="仿宋_GB2312" w:hAnsi="仿宋" w:eastAsia="仿宋_GB2312"/>
          <w:sz w:val="32"/>
          <w:szCs w:val="32"/>
        </w:rPr>
        <w:t>%。截至7月底，如期完成预算执行和绩效目标指标值的项目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>个，完成率为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100</w:t>
      </w:r>
      <w:r>
        <w:rPr>
          <w:rFonts w:hint="eastAsia" w:ascii="仿宋_GB2312" w:hAnsi="仿宋" w:eastAsia="仿宋_GB2312"/>
          <w:sz w:val="32"/>
          <w:szCs w:val="32"/>
        </w:rPr>
        <w:t>%。“双监控”发现存在的问题和主要原因是：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绩效评价不够完善</w:t>
      </w:r>
      <w:r>
        <w:rPr>
          <w:rFonts w:hint="eastAsia" w:ascii="仿宋_GB2312" w:hAnsi="仿宋" w:eastAsia="仿宋_GB2312"/>
          <w:sz w:val="32"/>
          <w:szCs w:val="32"/>
        </w:rPr>
        <w:t>(需自行完善编辑)。开展1-9月绩效运行监控项目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 xml:space="preserve">个，占本部门（单位）项目的 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100</w:t>
      </w:r>
      <w:r>
        <w:rPr>
          <w:rFonts w:hint="eastAsia" w:ascii="仿宋_GB2312" w:hAnsi="仿宋" w:eastAsia="仿宋_GB2312"/>
          <w:sz w:val="32"/>
          <w:szCs w:val="32"/>
        </w:rPr>
        <w:t xml:space="preserve">%。截至10月底，如期完成预算执行和绩效目标指标值的项目 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 xml:space="preserve">个，完成率为 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100</w:t>
      </w:r>
      <w:r>
        <w:rPr>
          <w:rFonts w:hint="eastAsia" w:ascii="仿宋_GB2312" w:hAnsi="仿宋" w:eastAsia="仿宋_GB2312"/>
          <w:sz w:val="32"/>
          <w:szCs w:val="32"/>
        </w:rPr>
        <w:t xml:space="preserve"> %。。</w:t>
      </w:r>
    </w:p>
    <w:p>
      <w:pPr>
        <w:widowControl/>
        <w:adjustRightInd w:val="0"/>
        <w:snapToGrid w:val="0"/>
        <w:spacing w:line="640" w:lineRule="exact"/>
        <w:ind w:firstLine="643" w:firstLineChars="200"/>
        <w:contextualSpacing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3.绩效自评开展情况。</w:t>
      </w:r>
      <w:r>
        <w:rPr>
          <w:rFonts w:hint="eastAsia" w:ascii="仿宋_GB2312" w:hAnsi="仿宋" w:eastAsia="仿宋_GB2312"/>
          <w:sz w:val="32"/>
          <w:szCs w:val="32"/>
        </w:rPr>
        <w:t>2023年度，组织开展绩效自评项目共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" w:eastAsia="仿宋_GB2312"/>
          <w:sz w:val="32"/>
          <w:szCs w:val="32"/>
        </w:rPr>
        <w:t>个，其中，部门（单位）整体支出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" w:eastAsia="仿宋_GB2312"/>
          <w:sz w:val="32"/>
          <w:szCs w:val="32"/>
        </w:rPr>
        <w:t>个，项目支出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>个，转移支付项目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>个，绩效自评覆盖率为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100</w:t>
      </w:r>
      <w:r>
        <w:rPr>
          <w:rFonts w:hint="eastAsia" w:ascii="仿宋_GB2312" w:hAnsi="仿宋" w:eastAsia="仿宋_GB2312"/>
          <w:sz w:val="32"/>
          <w:szCs w:val="32"/>
        </w:rPr>
        <w:t>%。</w:t>
      </w:r>
    </w:p>
    <w:p>
      <w:pPr>
        <w:widowControl/>
        <w:adjustRightInd w:val="0"/>
        <w:snapToGrid w:val="0"/>
        <w:spacing w:line="640" w:lineRule="exact"/>
        <w:ind w:firstLine="643" w:firstLineChars="200"/>
        <w:contextualSpacing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4.绩效结果应用情况。</w:t>
      </w:r>
      <w:r>
        <w:rPr>
          <w:rFonts w:hint="eastAsia" w:ascii="仿宋_GB2312" w:hAnsi="仿宋" w:eastAsia="仿宋_GB2312"/>
          <w:sz w:val="32"/>
          <w:szCs w:val="32"/>
        </w:rPr>
        <w:t>根据2023年度绩效运行监控、绩效自评等情况，当年盘活财政资金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>万元，2024年度增加（减少）部门预算项目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>个，增长率/压减率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>%。同时对政策和项目资金管理作出调整的   个。</w:t>
      </w:r>
    </w:p>
    <w:p>
      <w:pPr>
        <w:adjustRightInd w:val="0"/>
        <w:snapToGrid w:val="0"/>
        <w:spacing w:line="640" w:lineRule="exact"/>
        <w:ind w:firstLine="643" w:firstLineChars="200"/>
        <w:contextualSpacing/>
        <w:rPr>
          <w:rFonts w:ascii="楷体_GB2312" w:hAnsi="楷体" w:eastAsia="楷体_GB2312" w:cs="宋体"/>
          <w:b/>
          <w:bCs/>
          <w:kern w:val="0"/>
          <w:sz w:val="32"/>
          <w:szCs w:val="32"/>
        </w:rPr>
      </w:pPr>
      <w:r>
        <w:rPr>
          <w:rFonts w:hint="eastAsia" w:ascii="楷体_GB2312" w:hAnsi="楷体" w:eastAsia="楷体_GB2312" w:cs="宋体"/>
          <w:b/>
          <w:bCs/>
          <w:kern w:val="0"/>
          <w:sz w:val="32"/>
          <w:szCs w:val="32"/>
        </w:rPr>
        <w:t>（二）2024年绩效目标编制情况</w:t>
      </w:r>
    </w:p>
    <w:p>
      <w:pPr>
        <w:widowControl/>
        <w:adjustRightInd w:val="0"/>
        <w:snapToGrid w:val="0"/>
        <w:spacing w:line="640" w:lineRule="exact"/>
        <w:ind w:firstLine="640" w:firstLineChars="200"/>
        <w:contextualSpacing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2024年，纳入部门/单位预算绩效目标管理的项目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>个。其中，部门整体支出绩效目标围绕部门管理、履职效果、能力建设三个维度，设置二级指标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>个、三级指标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>个；项目支出绩效目标围绕成本指标、产出指标、效益指标、满意度指标四个维度，设置二级指标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" w:eastAsia="仿宋_GB2312"/>
          <w:sz w:val="32"/>
          <w:szCs w:val="32"/>
        </w:rPr>
        <w:t>个、三级指标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" w:eastAsia="仿宋_GB2312"/>
          <w:sz w:val="32"/>
          <w:szCs w:val="32"/>
        </w:rPr>
        <w:t>个。各项绩效目标内容指向明确、细化量化、合理可行，符合规定的格式要求。</w:t>
      </w:r>
    </w:p>
    <w:p>
      <w:pPr>
        <w:adjustRightInd w:val="0"/>
        <w:snapToGrid w:val="0"/>
        <w:spacing w:line="640" w:lineRule="exact"/>
        <w:ind w:firstLine="643" w:firstLineChars="200"/>
        <w:contextualSpacing/>
        <w:rPr>
          <w:rFonts w:ascii="楷体_GB2312" w:hAnsi="楷体" w:eastAsia="楷体_GB2312" w:cs="宋体"/>
          <w:b/>
          <w:bCs/>
          <w:kern w:val="0"/>
          <w:sz w:val="32"/>
          <w:szCs w:val="32"/>
        </w:rPr>
      </w:pPr>
      <w:r>
        <w:rPr>
          <w:rFonts w:hint="eastAsia" w:ascii="楷体_GB2312" w:hAnsi="楷体" w:eastAsia="楷体_GB2312" w:cs="宋体"/>
          <w:b/>
          <w:bCs/>
          <w:kern w:val="0"/>
          <w:sz w:val="32"/>
          <w:szCs w:val="32"/>
        </w:rPr>
        <w:t>十一、名词解释</w:t>
      </w:r>
    </w:p>
    <w:p>
      <w:pPr>
        <w:adjustRightInd w:val="0"/>
        <w:snapToGrid w:val="0"/>
        <w:spacing w:line="640" w:lineRule="exact"/>
        <w:ind w:firstLine="643" w:firstLineChars="200"/>
        <w:contextualSpacing/>
        <w:rPr>
          <w:rFonts w:hint="eastAsia" w:ascii="仿宋_GB2312" w:hAnsi="CIDFont+F6" w:eastAsia="仿宋_GB2312"/>
          <w:color w:val="000000"/>
          <w:sz w:val="32"/>
          <w:szCs w:val="32"/>
        </w:rPr>
      </w:pPr>
      <w:r>
        <w:rPr>
          <w:rFonts w:hint="eastAsia" w:ascii="仿宋_GB2312" w:hAnsi="CIDFont+F4" w:eastAsia="仿宋_GB2312"/>
          <w:b/>
          <w:color w:val="000000"/>
          <w:sz w:val="32"/>
          <w:szCs w:val="32"/>
        </w:rPr>
        <w:t>1、财政拨款:</w:t>
      </w:r>
      <w:r>
        <w:rPr>
          <w:rFonts w:hint="eastAsia" w:ascii="仿宋_GB2312" w:hAnsi="CIDFont+F6" w:eastAsia="仿宋_GB2312"/>
          <w:color w:val="000000"/>
          <w:sz w:val="32"/>
          <w:szCs w:val="32"/>
        </w:rPr>
        <w:t>指由一般公共预算、政府性基金预算、国有资本经营预算安排的财政拨款数。</w:t>
      </w:r>
    </w:p>
    <w:p>
      <w:pPr>
        <w:adjustRightInd w:val="0"/>
        <w:snapToGrid w:val="0"/>
        <w:spacing w:line="640" w:lineRule="exact"/>
        <w:ind w:firstLine="643" w:firstLineChars="200"/>
        <w:contextualSpacing/>
        <w:rPr>
          <w:rFonts w:hint="eastAsia" w:ascii="仿宋_GB2312" w:hAnsi="CIDFont+F6" w:eastAsia="仿宋_GB2312"/>
          <w:color w:val="000000"/>
          <w:sz w:val="32"/>
          <w:szCs w:val="32"/>
        </w:rPr>
      </w:pPr>
      <w:r>
        <w:rPr>
          <w:rFonts w:hint="eastAsia" w:ascii="仿宋_GB2312" w:hAnsi="CIDFont+F4" w:eastAsia="仿宋_GB2312"/>
          <w:b/>
          <w:color w:val="000000"/>
          <w:sz w:val="32"/>
          <w:szCs w:val="32"/>
        </w:rPr>
        <w:t>2、一般公共预算:</w:t>
      </w:r>
      <w:r>
        <w:rPr>
          <w:rFonts w:hint="eastAsia" w:ascii="仿宋_GB2312" w:hAnsi="CIDFont+F6" w:eastAsia="仿宋_GB2312"/>
          <w:color w:val="000000"/>
          <w:sz w:val="32"/>
          <w:szCs w:val="32"/>
        </w:rPr>
        <w:t>包括公共财政拨款（补助）资金、专项收入。</w:t>
      </w:r>
    </w:p>
    <w:p>
      <w:pPr>
        <w:adjustRightInd w:val="0"/>
        <w:snapToGrid w:val="0"/>
        <w:spacing w:line="640" w:lineRule="exact"/>
        <w:ind w:firstLine="643" w:firstLineChars="200"/>
        <w:contextualSpacing/>
        <w:rPr>
          <w:rFonts w:hint="eastAsia" w:ascii="仿宋_GB2312" w:hAnsi="CIDFont+F6" w:eastAsia="仿宋_GB2312"/>
          <w:color w:val="000000"/>
          <w:sz w:val="32"/>
          <w:szCs w:val="32"/>
        </w:rPr>
      </w:pPr>
      <w:r>
        <w:rPr>
          <w:rFonts w:hint="eastAsia" w:ascii="仿宋_GB2312" w:hAnsi="CIDFont+F4" w:eastAsia="仿宋_GB2312"/>
          <w:b/>
          <w:color w:val="000000"/>
          <w:sz w:val="32"/>
          <w:szCs w:val="32"/>
        </w:rPr>
        <w:t>3、财政专户管理资金:</w:t>
      </w:r>
      <w:r>
        <w:rPr>
          <w:rFonts w:hint="eastAsia" w:ascii="仿宋_GB2312" w:hAnsi="CIDFont+F6" w:eastAsia="仿宋_GB2312"/>
          <w:color w:val="000000"/>
          <w:sz w:val="32"/>
          <w:szCs w:val="32"/>
        </w:rPr>
        <w:t>包括专户管理行政事业性收费（主要是教育收费）、其他非税收入。</w:t>
      </w:r>
    </w:p>
    <w:p>
      <w:pPr>
        <w:adjustRightInd w:val="0"/>
        <w:snapToGrid w:val="0"/>
        <w:spacing w:line="640" w:lineRule="exact"/>
        <w:ind w:firstLine="643" w:firstLineChars="200"/>
        <w:contextualSpacing/>
        <w:rPr>
          <w:rFonts w:hint="eastAsia" w:ascii="仿宋_GB2312" w:hAnsi="CIDFont+F6" w:eastAsia="仿宋_GB2312"/>
          <w:color w:val="000000"/>
          <w:sz w:val="32"/>
          <w:szCs w:val="32"/>
        </w:rPr>
      </w:pPr>
      <w:r>
        <w:rPr>
          <w:rFonts w:hint="eastAsia" w:ascii="仿宋_GB2312" w:hAnsi="CIDFont+F4" w:eastAsia="仿宋_GB2312"/>
          <w:b/>
          <w:color w:val="000000"/>
          <w:sz w:val="32"/>
          <w:szCs w:val="32"/>
        </w:rPr>
        <w:t>4、其他资金:</w:t>
      </w:r>
      <w:r>
        <w:rPr>
          <w:rFonts w:hint="eastAsia" w:ascii="仿宋_GB2312" w:hAnsi="CIDFont+F6" w:eastAsia="仿宋_GB2312"/>
          <w:color w:val="000000"/>
          <w:sz w:val="32"/>
          <w:szCs w:val="32"/>
        </w:rPr>
        <w:t>包括事业收入、事业经营收入、其他收入等。</w:t>
      </w:r>
    </w:p>
    <w:p>
      <w:pPr>
        <w:adjustRightInd w:val="0"/>
        <w:snapToGrid w:val="0"/>
        <w:spacing w:line="640" w:lineRule="exact"/>
        <w:ind w:firstLine="643" w:firstLineChars="200"/>
        <w:contextualSpacing/>
        <w:rPr>
          <w:rFonts w:hint="eastAsia" w:ascii="仿宋_GB2312" w:hAnsi="CIDFont+F6" w:eastAsia="仿宋_GB2312"/>
          <w:color w:val="000000"/>
          <w:sz w:val="32"/>
          <w:szCs w:val="32"/>
        </w:rPr>
      </w:pPr>
      <w:r>
        <w:rPr>
          <w:rFonts w:hint="eastAsia" w:ascii="仿宋_GB2312" w:hAnsi="CIDFont+F4" w:eastAsia="仿宋_GB2312"/>
          <w:b/>
          <w:color w:val="000000"/>
          <w:sz w:val="32"/>
          <w:szCs w:val="32"/>
        </w:rPr>
        <w:t>5、基本支出:</w:t>
      </w:r>
      <w:r>
        <w:rPr>
          <w:rFonts w:hint="eastAsia" w:ascii="仿宋_GB2312" w:hAnsi="CIDFont+F6" w:eastAsia="仿宋_GB2312"/>
          <w:color w:val="000000"/>
          <w:sz w:val="32"/>
          <w:szCs w:val="32"/>
        </w:rPr>
        <w:t>包括人员经费、公用经费（定额）。其中，人员经费包括工资福利支出、对个人和家庭的补助。</w:t>
      </w:r>
    </w:p>
    <w:p>
      <w:pPr>
        <w:adjustRightInd w:val="0"/>
        <w:snapToGrid w:val="0"/>
        <w:spacing w:line="640" w:lineRule="exact"/>
        <w:ind w:firstLine="643" w:firstLineChars="200"/>
        <w:contextualSpacing/>
        <w:rPr>
          <w:rFonts w:hint="eastAsia" w:ascii="仿宋_GB2312" w:hAnsi="CIDFont+F6" w:eastAsia="仿宋_GB2312"/>
          <w:color w:val="000000"/>
          <w:sz w:val="32"/>
          <w:szCs w:val="32"/>
        </w:rPr>
      </w:pPr>
      <w:r>
        <w:rPr>
          <w:rFonts w:hint="eastAsia" w:ascii="仿宋_GB2312" w:hAnsi="CIDFont+F4" w:eastAsia="仿宋_GB2312"/>
          <w:b/>
          <w:color w:val="000000"/>
          <w:sz w:val="32"/>
          <w:szCs w:val="32"/>
        </w:rPr>
        <w:t>6、项目支出:</w:t>
      </w:r>
      <w:r>
        <w:rPr>
          <w:rFonts w:hint="eastAsia" w:ascii="仿宋_GB2312" w:hAnsi="CIDFont+F6" w:eastAsia="仿宋_GB2312"/>
          <w:color w:val="000000"/>
          <w:sz w:val="32"/>
          <w:szCs w:val="32"/>
        </w:rPr>
        <w:t>部门（单位）支出预算的组成部分，是各部门（单位）为完成其特定的行政任务或事业发展目标，在基本支出预算之外编制的年度项目支出计划。</w:t>
      </w:r>
    </w:p>
    <w:p>
      <w:pPr>
        <w:adjustRightInd w:val="0"/>
        <w:snapToGrid w:val="0"/>
        <w:spacing w:line="640" w:lineRule="exact"/>
        <w:ind w:firstLine="643" w:firstLineChars="200"/>
        <w:contextualSpacing/>
        <w:rPr>
          <w:rFonts w:hint="eastAsia" w:ascii="仿宋_GB2312" w:hAnsi="CIDFont+F6" w:eastAsia="仿宋_GB2312"/>
          <w:color w:val="000000"/>
          <w:sz w:val="32"/>
          <w:szCs w:val="32"/>
        </w:rPr>
      </w:pPr>
      <w:r>
        <w:rPr>
          <w:rFonts w:hint="eastAsia" w:ascii="仿宋_GB2312" w:hAnsi="CIDFont+F4" w:eastAsia="仿宋_GB2312"/>
          <w:b/>
          <w:color w:val="000000"/>
          <w:sz w:val="32"/>
          <w:szCs w:val="32"/>
        </w:rPr>
        <w:t>7、“三公”经费:</w:t>
      </w:r>
      <w:r>
        <w:rPr>
          <w:rFonts w:hint="eastAsia" w:ascii="仿宋_GB2312" w:hAnsi="CIDFont+F6" w:eastAsia="仿宋_GB2312"/>
          <w:color w:val="000000"/>
          <w:sz w:val="32"/>
          <w:szCs w:val="32"/>
        </w:rPr>
        <w:t>指因公出国（境）费、公务用车购置及运行维护费和公务接待费。其中，因公出国（境）费反映单位公务出国（境）的国际旅费、国外城市间交通费、住宿费、伙食费、培训费、公杂费等支出；公务用车运行维护费反映单位按规定保留的公务用车租用费、燃料费、维修费、过路过桥费、保险费、安全奖励费用等支出；公务接待费反映单位按规定开支的各类公务接待（含外宾接待）支出。</w:t>
      </w:r>
    </w:p>
    <w:p>
      <w:pPr>
        <w:adjustRightInd w:val="0"/>
        <w:snapToGrid w:val="0"/>
        <w:spacing w:line="640" w:lineRule="exact"/>
        <w:ind w:firstLine="643" w:firstLineChars="200"/>
        <w:contextualSpacing/>
        <w:rPr>
          <w:rFonts w:hint="eastAsia" w:ascii="仿宋_GB2312" w:hAnsi="CIDFont+F4" w:eastAsia="仿宋_GB2312"/>
          <w:b/>
          <w:color w:val="000000"/>
          <w:sz w:val="32"/>
          <w:szCs w:val="32"/>
        </w:rPr>
      </w:pPr>
      <w:r>
        <w:rPr>
          <w:rFonts w:hint="eastAsia" w:ascii="仿宋_GB2312" w:hAnsi="CIDFont+F4" w:eastAsia="仿宋_GB2312"/>
          <w:b/>
          <w:color w:val="000000"/>
          <w:sz w:val="32"/>
          <w:szCs w:val="32"/>
        </w:rPr>
        <w:t>8、机关运行经费:</w:t>
      </w:r>
      <w:r>
        <w:rPr>
          <w:rFonts w:hint="eastAsia" w:ascii="仿宋_GB2312" w:hAnsi="CIDFont+F6" w:eastAsia="仿宋_GB2312"/>
          <w:color w:val="000000"/>
          <w:sz w:val="32"/>
          <w:szCs w:val="32"/>
        </w:rPr>
        <w:t>为保障行政单位（包括实行公务员管理的事业单位）运行用于购买货物和服务的各项资金，包括办公及印刷费、邮电费、差旅费、会议费、福利费、日常维修费、一般设备购置费、办公用房水电费、办公用房取暖费、办公用房物业管理费、公务用车运行维护费以及其他费用。</w:t>
      </w:r>
    </w:p>
    <w:p>
      <w:pPr>
        <w:adjustRightInd w:val="0"/>
        <w:snapToGrid w:val="0"/>
        <w:spacing w:line="640" w:lineRule="exact"/>
        <w:contextualSpacing/>
        <w:jc w:val="both"/>
        <w:rPr>
          <w:rFonts w:hint="eastAsia" w:ascii="仿宋_GB2312" w:hAnsi="CIDFont+F6" w:eastAsia="仿宋_GB2312"/>
          <w:color w:val="000000"/>
          <w:sz w:val="32"/>
          <w:szCs w:val="32"/>
        </w:rPr>
      </w:pPr>
    </w:p>
    <w:p>
      <w:pPr>
        <w:adjustRightInd w:val="0"/>
        <w:snapToGrid w:val="0"/>
        <w:spacing w:line="640" w:lineRule="exact"/>
        <w:ind w:right="1120"/>
        <w:contextualSpacing/>
        <w:jc w:val="center"/>
        <w:rPr>
          <w:rFonts w:hint="eastAsia" w:ascii="仿宋_GB2312" w:hAnsi="CIDFont+F6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CIDFont+F6" w:eastAsia="仿宋_GB2312"/>
          <w:color w:val="000000"/>
          <w:sz w:val="32"/>
          <w:szCs w:val="32"/>
          <w:lang w:val="en-US" w:eastAsia="zh-CN"/>
        </w:rPr>
        <w:t xml:space="preserve">                            积石山县统计局</w:t>
      </w:r>
    </w:p>
    <w:p>
      <w:pPr>
        <w:adjustRightInd w:val="0"/>
        <w:snapToGrid w:val="0"/>
        <w:spacing w:line="640" w:lineRule="exact"/>
        <w:ind w:right="1120"/>
        <w:contextualSpacing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CIDFont+F6" w:eastAsia="仿宋_GB2312"/>
          <w:color w:val="000000"/>
          <w:sz w:val="32"/>
          <w:szCs w:val="32"/>
          <w:lang w:val="en-US" w:eastAsia="zh-CN"/>
        </w:rPr>
        <w:t xml:space="preserve">                             2024</w:t>
      </w:r>
      <w:r>
        <w:rPr>
          <w:rFonts w:hint="eastAsia" w:ascii="仿宋_GB2312" w:hAnsi="CIDFont+F6" w:eastAsia="仿宋_GB2312"/>
          <w:color w:val="000000"/>
          <w:sz w:val="32"/>
          <w:szCs w:val="32"/>
        </w:rPr>
        <w:t>年</w:t>
      </w:r>
      <w:r>
        <w:rPr>
          <w:rFonts w:hint="eastAsia" w:ascii="仿宋_GB2312" w:hAnsi="CIDFont+F6" w:eastAsia="仿宋_GB2312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_GB2312" w:hAnsi="CIDFont+F6" w:eastAsia="仿宋_GB2312"/>
          <w:color w:val="000000"/>
          <w:sz w:val="32"/>
          <w:szCs w:val="32"/>
        </w:rPr>
        <w:t>月</w:t>
      </w:r>
      <w:r>
        <w:rPr>
          <w:rFonts w:hint="eastAsia" w:ascii="仿宋_GB2312" w:hAnsi="CIDFont+F6" w:eastAsia="仿宋_GB2312"/>
          <w:color w:val="000000"/>
          <w:sz w:val="32"/>
          <w:szCs w:val="32"/>
          <w:lang w:val="en-US" w:eastAsia="zh-CN"/>
        </w:rPr>
        <w:t>15</w:t>
      </w:r>
      <w:r>
        <w:rPr>
          <w:rFonts w:hint="eastAsia" w:ascii="仿宋_GB2312" w:hAnsi="CIDFont+F6" w:eastAsia="仿宋_GB2312"/>
          <w:color w:val="000000"/>
          <w:sz w:val="32"/>
          <w:szCs w:val="32"/>
        </w:rPr>
        <w:t>日</w:t>
      </w:r>
    </w:p>
    <w:p>
      <w:pPr>
        <w:adjustRightInd w:val="0"/>
        <w:snapToGrid w:val="0"/>
        <w:spacing w:line="640" w:lineRule="exact"/>
        <w:ind w:firstLine="640" w:firstLineChars="200"/>
        <w:contextualSpacing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adjustRightInd w:val="0"/>
        <w:snapToGrid w:val="0"/>
        <w:spacing w:line="640" w:lineRule="exact"/>
        <w:ind w:firstLine="640" w:firstLineChars="200"/>
        <w:contextualSpacing/>
        <w:rPr>
          <w:rFonts w:ascii="仿宋_GB2312" w:hAnsi="宋体" w:eastAsia="仿宋_GB2312" w:cs="宋体"/>
          <w:spacing w:val="-2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附件：</w:t>
      </w:r>
      <w:r>
        <w:rPr>
          <w:rFonts w:hint="eastAsia" w:ascii="仿宋_GB2312" w:hAnsi="宋体" w:eastAsia="仿宋_GB2312" w:cs="宋体"/>
          <w:spacing w:val="-20"/>
          <w:kern w:val="0"/>
          <w:sz w:val="32"/>
          <w:szCs w:val="32"/>
        </w:rPr>
        <w:t>1.××</w:t>
      </w:r>
      <w:r>
        <w:rPr>
          <w:rFonts w:hint="eastAsia" w:ascii="仿宋_GB2312" w:hAnsi="CIDFont+F6" w:eastAsia="仿宋_GB2312"/>
          <w:color w:val="000000"/>
          <w:sz w:val="32"/>
          <w:szCs w:val="32"/>
        </w:rPr>
        <w:t>部门/单位</w:t>
      </w:r>
      <w:r>
        <w:rPr>
          <w:rFonts w:hint="eastAsia" w:ascii="仿宋_GB2312" w:hAnsi="宋体" w:eastAsia="仿宋_GB2312" w:cs="宋体"/>
          <w:spacing w:val="-20"/>
          <w:kern w:val="0"/>
          <w:sz w:val="32"/>
          <w:szCs w:val="32"/>
        </w:rPr>
        <w:t>名称 2024年</w:t>
      </w:r>
      <w:r>
        <w:rPr>
          <w:rFonts w:hint="eastAsia" w:ascii="仿宋_GB2312" w:hAnsi="CIDFont+F6" w:eastAsia="仿宋_GB2312"/>
          <w:color w:val="000000"/>
          <w:sz w:val="32"/>
          <w:szCs w:val="32"/>
        </w:rPr>
        <w:t>部门/单位</w:t>
      </w:r>
      <w:r>
        <w:rPr>
          <w:rFonts w:hint="eastAsia" w:ascii="仿宋_GB2312" w:hAnsi="宋体" w:eastAsia="仿宋_GB2312" w:cs="宋体"/>
          <w:spacing w:val="-20"/>
          <w:kern w:val="0"/>
          <w:sz w:val="32"/>
          <w:szCs w:val="32"/>
        </w:rPr>
        <w:t>预算公开表</w:t>
      </w:r>
    </w:p>
    <w:p>
      <w:pPr>
        <w:adjustRightInd w:val="0"/>
        <w:snapToGrid w:val="0"/>
        <w:spacing w:line="640" w:lineRule="exact"/>
        <w:ind w:left="1796" w:leftChars="767" w:hanging="185" w:hangingChars="58"/>
        <w:contextualSpacing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2.××</w:t>
      </w:r>
      <w:r>
        <w:rPr>
          <w:rFonts w:hint="eastAsia" w:ascii="仿宋_GB2312" w:hAnsi="CIDFont+F6" w:eastAsia="仿宋_GB2312"/>
          <w:color w:val="000000"/>
          <w:sz w:val="32"/>
          <w:szCs w:val="32"/>
        </w:rPr>
        <w:t>部门/单位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名称 2024年</w:t>
      </w:r>
      <w:r>
        <w:rPr>
          <w:rFonts w:hint="eastAsia" w:ascii="仿宋_GB2312" w:hAnsi="CIDFont+F6" w:eastAsia="仿宋_GB2312"/>
          <w:color w:val="000000"/>
          <w:sz w:val="32"/>
          <w:szCs w:val="32"/>
        </w:rPr>
        <w:t>部门/单位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整体支出绩效目标及预算项目绩效目标表</w:t>
      </w:r>
    </w:p>
    <w:p>
      <w:pPr>
        <w:adjustRightInd w:val="0"/>
        <w:snapToGrid w:val="0"/>
        <w:spacing w:line="640" w:lineRule="exact"/>
        <w:contextualSpacing/>
        <w:rPr>
          <w:rFonts w:ascii="宋体" w:hAnsi="宋体"/>
          <w:b/>
        </w:rPr>
      </w:pPr>
      <w:r>
        <w:rPr>
          <w:rFonts w:hint="eastAsia" w:ascii="黑体" w:eastAsia="黑体"/>
          <w:sz w:val="30"/>
          <w:szCs w:val="30"/>
        </w:rPr>
        <w:br w:type="page"/>
      </w:r>
      <w:r>
        <w:rPr>
          <w:rFonts w:hint="eastAsia" w:ascii="黑体" w:eastAsia="黑体"/>
          <w:sz w:val="30"/>
          <w:szCs w:val="30"/>
        </w:rPr>
        <w:t>附件1</w:t>
      </w:r>
    </w:p>
    <w:tbl>
      <w:tblPr>
        <w:tblStyle w:val="8"/>
        <w:tblW w:w="1054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59"/>
        <w:gridCol w:w="1627"/>
        <w:gridCol w:w="3677"/>
        <w:gridCol w:w="148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05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34"/>
                <w:szCs w:val="34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4"/>
                <w:szCs w:val="34"/>
                <w:u w:val="none"/>
                <w:lang w:val="en-US" w:eastAsia="zh-CN" w:bidi="ar"/>
              </w:rPr>
              <w:t>部门收支总体情况表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539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收入</w:t>
            </w:r>
          </w:p>
        </w:tc>
        <w:tc>
          <w:tcPr>
            <w:tcW w:w="51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3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预算数</w:t>
            </w:r>
          </w:p>
        </w:tc>
        <w:tc>
          <w:tcPr>
            <w:tcW w:w="3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预算数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3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一、一般公共预算财政拨款收入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Hiragino Sans GB" w:hAnsi="Hiragino Sans GB" w:eastAsia="Hiragino Sans GB" w:cs="Hiragino Sans GB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398.26</w:t>
            </w:r>
          </w:p>
        </w:tc>
        <w:tc>
          <w:tcPr>
            <w:tcW w:w="3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一、一般公共服务支出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Hiragino Sans GB" w:hAnsi="Hiragino Sans GB" w:eastAsia="Hiragino Sans GB" w:cs="Hiragino Sans GB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398.26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3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二、政府性基金预算财政拨款收入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二、外交支出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3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三、国有资本经营预算收入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三、国防支出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3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四、教育专户核算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四、公共安全支出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3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五、事业收入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五、教育支出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3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六、上级补助收入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六、科学技术支出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3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七、附属单位上缴收入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七、文化旅游体育与传媒支出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3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八、经营收入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八、社会保障和就业支出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Hiragino Sans GB" w:hAnsi="Hiragino Sans GB" w:eastAsia="Hiragino Sans GB" w:cs="Hiragino Sans GB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11.68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3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九、其他收入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九、社会保险基金支出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3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十、卫生健康支出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Hiragino Sans GB" w:hAnsi="Hiragino Sans GB" w:eastAsia="Hiragino Sans GB" w:cs="Hiragino Sans GB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11.81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3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十一、节能环保支出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3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十二、城乡社区支出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3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十三、农林水支出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3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十四、交通运输支出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3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十五、资源勘探工业信息等支出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3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十六、商业服务业等支出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3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十七、金融支出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3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十八、援助其他地区支出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3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十九、自然资源海洋气象等支出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3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二十、住房保障支出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Hiragino Sans GB" w:hAnsi="Hiragino Sans GB" w:eastAsia="Hiragino Sans GB" w:cs="Hiragino Sans GB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27.77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3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二十一、粮油物资储备支出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3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二十二、国有资本经营预算支出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3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二十三、灾害防治及应急管理支出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3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二十四、预备费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3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二十五、其他支出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3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二十六、转移性支出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3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二十七、债务还本支出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3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二十八、债务付息支出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3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二十九、债务发行费用支出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3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三十、抗疫特别国债还本支出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3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3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3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3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本年收入合计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384.39</w:t>
            </w:r>
          </w:p>
        </w:tc>
        <w:tc>
          <w:tcPr>
            <w:tcW w:w="3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本年支出合计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384.39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3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十、上年结转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三十一、年终结转结余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3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十一、上年结余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3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3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收入总计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384.39</w:t>
            </w:r>
          </w:p>
        </w:tc>
        <w:tc>
          <w:tcPr>
            <w:tcW w:w="3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支出总计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384.39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27" w:hRule="atLeast"/>
        </w:trPr>
        <w:tc>
          <w:tcPr>
            <w:tcW w:w="105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备注：无内容应公开空表并说明情况。</w:t>
            </w:r>
          </w:p>
        </w:tc>
      </w:tr>
    </w:tbl>
    <w:p>
      <w:pPr>
        <w:spacing w:line="600" w:lineRule="exact"/>
        <w:jc w:val="center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spacing w:line="600" w:lineRule="exact"/>
        <w:jc w:val="center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spacing w:line="600" w:lineRule="exact"/>
        <w:jc w:val="center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tabs>
          <w:tab w:val="left" w:pos="1272"/>
        </w:tabs>
        <w:rPr>
          <w:rFonts w:ascii="仿宋_GB2312" w:hAnsi="微软雅黑" w:eastAsia="仿宋_GB2312"/>
          <w:sz w:val="18"/>
          <w:szCs w:val="18"/>
        </w:rPr>
      </w:pPr>
    </w:p>
    <w:tbl>
      <w:tblPr>
        <w:tblStyle w:val="8"/>
        <w:tblW w:w="1021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33"/>
        <w:gridCol w:w="208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0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34"/>
                <w:szCs w:val="34"/>
                <w:u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表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eastAsia="zh-CN"/>
              </w:rPr>
              <w:t>二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、</w:t>
            </w: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4"/>
                <w:szCs w:val="34"/>
                <w:u w:val="none"/>
                <w:lang w:val="en-US" w:eastAsia="zh-CN" w:bidi="ar"/>
              </w:rPr>
              <w:t>部门收入总体情况表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8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81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预算数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81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一、一般公共预算财政拨款收入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81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二、政府性基金预算财政拨款收入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81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三、国有资本经营预算收入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81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四、教育专户核算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81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五、事业收入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81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六、上级补助收入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81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七、附属单位上缴收入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81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八、经营收入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81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九、其他收入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81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 本年收入合计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81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十、上年结转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81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81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十一、上年结余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81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81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 收入合计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0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备注：无内容应公开空表并说明情况。</w:t>
            </w:r>
          </w:p>
        </w:tc>
      </w:tr>
    </w:tbl>
    <w:p>
      <w:pPr>
        <w:tabs>
          <w:tab w:val="left" w:pos="1272"/>
        </w:tabs>
        <w:rPr>
          <w:rFonts w:ascii="仿宋_GB2312" w:hAnsi="微软雅黑" w:eastAsia="仿宋_GB2312"/>
          <w:sz w:val="18"/>
          <w:szCs w:val="18"/>
        </w:rPr>
        <w:sectPr>
          <w:pgSz w:w="11906" w:h="16838"/>
          <w:pgMar w:top="1134" w:right="1134" w:bottom="1134" w:left="1134" w:header="851" w:footer="992" w:gutter="0"/>
          <w:cols w:space="425" w:num="1"/>
          <w:docGrid w:type="lines" w:linePitch="312" w:charSpace="0"/>
        </w:sectPr>
      </w:pPr>
      <w:r>
        <w:rPr>
          <w:rFonts w:ascii="仿宋_GB2312" w:hAnsi="微软雅黑" w:eastAsia="仿宋_GB2312"/>
          <w:sz w:val="18"/>
          <w:szCs w:val="18"/>
        </w:rPr>
        <w:tab/>
      </w:r>
    </w:p>
    <w:p>
      <w:pPr>
        <w:spacing w:line="600" w:lineRule="exact"/>
        <w:jc w:val="center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表三、</w:t>
      </w:r>
      <w:r>
        <w:rPr>
          <w:rFonts w:hint="eastAsia" w:ascii="仿宋_GB2312" w:hAnsi="CIDFont+F6" w:eastAsia="仿宋_GB2312"/>
          <w:color w:val="000000"/>
          <w:sz w:val="32"/>
          <w:szCs w:val="32"/>
        </w:rPr>
        <w:t>部门/单位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支出总体情况表</w:t>
      </w:r>
    </w:p>
    <w:p>
      <w:pPr>
        <w:jc w:val="right"/>
        <w:rPr>
          <w:rFonts w:ascii="宋体" w:hAnsi="宋体" w:cs="Arial"/>
          <w:color w:val="000000"/>
          <w:kern w:val="0"/>
          <w:sz w:val="18"/>
          <w:szCs w:val="18"/>
        </w:rPr>
      </w:pPr>
      <w:r>
        <w:rPr>
          <w:rFonts w:hint="eastAsia" w:ascii="宋体" w:hAnsi="宋体" w:cs="Arial"/>
          <w:color w:val="000000"/>
          <w:kern w:val="0"/>
          <w:sz w:val="18"/>
          <w:szCs w:val="18"/>
        </w:rPr>
        <w:t>单位：万元</w:t>
      </w: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rPr>
          <w:rFonts w:ascii="仿宋_GB2312" w:hAnsi="微软雅黑" w:eastAsia="仿宋_GB2312"/>
          <w:sz w:val="18"/>
          <w:szCs w:val="18"/>
        </w:rPr>
      </w:pPr>
    </w:p>
    <w:tbl>
      <w:tblPr>
        <w:tblStyle w:val="8"/>
        <w:tblW w:w="1048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22"/>
        <w:gridCol w:w="1808"/>
        <w:gridCol w:w="1644"/>
        <w:gridCol w:w="1596"/>
        <w:gridCol w:w="15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39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功能分类科目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支出合计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基本支出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项目支出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上年结转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39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合计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398.26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398.26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39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一般公共服务支出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347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347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39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行政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运行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347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347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39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社会保障和就业支出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11.68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11.68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39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行政事业单位养老支出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11.68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11.68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39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机关事业单位基本养老保险缴费支出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11.68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11.68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39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卫生健康支出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11.81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11.81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39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行政事业单位医疗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11.81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11.81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39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事业单位医疗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11.81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11.81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39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住房保障支出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27.77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27.77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39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住房改革支出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27.77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27.77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39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住房公积金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27.77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27.77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04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备注：无内容应公开空表并说明情况。</w:t>
            </w:r>
          </w:p>
        </w:tc>
      </w:tr>
    </w:tbl>
    <w:p>
      <w:pPr>
        <w:rPr>
          <w:rFonts w:ascii="仿宋_GB2312" w:hAnsi="微软雅黑" w:eastAsia="仿宋_GB2312"/>
          <w:sz w:val="18"/>
          <w:szCs w:val="18"/>
        </w:rPr>
      </w:pP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tabs>
          <w:tab w:val="left" w:pos="4056"/>
        </w:tabs>
        <w:rPr>
          <w:rFonts w:ascii="仿宋_GB2312" w:hAnsi="微软雅黑" w:eastAsia="仿宋_GB2312"/>
          <w:sz w:val="18"/>
          <w:szCs w:val="18"/>
        </w:rPr>
      </w:pPr>
      <w:r>
        <w:rPr>
          <w:rFonts w:ascii="仿宋_GB2312" w:hAnsi="微软雅黑" w:eastAsia="仿宋_GB2312"/>
          <w:sz w:val="18"/>
          <w:szCs w:val="18"/>
        </w:rPr>
        <w:tab/>
      </w:r>
    </w:p>
    <w:p>
      <w:pPr>
        <w:tabs>
          <w:tab w:val="left" w:pos="4056"/>
        </w:tabs>
        <w:rPr>
          <w:rFonts w:ascii="仿宋_GB2312" w:hAnsi="微软雅黑" w:eastAsia="仿宋_GB2312"/>
          <w:sz w:val="18"/>
          <w:szCs w:val="18"/>
        </w:rPr>
        <w:sectPr>
          <w:pgSz w:w="11906" w:h="16838"/>
          <w:pgMar w:top="1134" w:right="1134" w:bottom="1134" w:left="1134" w:header="851" w:footer="992" w:gutter="0"/>
          <w:cols w:space="425" w:num="1"/>
          <w:docGrid w:type="lines" w:linePitch="312" w:charSpace="0"/>
        </w:sectPr>
      </w:pPr>
      <w:r>
        <w:rPr>
          <w:rFonts w:ascii="仿宋_GB2312" w:hAnsi="微软雅黑" w:eastAsia="仿宋_GB2312"/>
          <w:sz w:val="18"/>
          <w:szCs w:val="18"/>
        </w:rPr>
        <w:tab/>
      </w:r>
    </w:p>
    <w:p>
      <w:pPr>
        <w:spacing w:line="600" w:lineRule="exact"/>
        <w:jc w:val="center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表四、财政拨款收支总体情况表</w:t>
      </w:r>
    </w:p>
    <w:p>
      <w:pPr>
        <w:jc w:val="right"/>
        <w:rPr>
          <w:rFonts w:ascii="宋体" w:hAnsi="宋体" w:cs="Arial"/>
          <w:color w:val="000000"/>
          <w:kern w:val="0"/>
          <w:sz w:val="18"/>
          <w:szCs w:val="18"/>
        </w:rPr>
      </w:pPr>
      <w:r>
        <w:rPr>
          <w:rFonts w:hint="eastAsia" w:ascii="宋体" w:hAnsi="宋体" w:cs="Arial"/>
          <w:color w:val="000000"/>
          <w:kern w:val="0"/>
          <w:sz w:val="18"/>
          <w:szCs w:val="18"/>
        </w:rPr>
        <w:t>单位：万元</w:t>
      </w:r>
    </w:p>
    <w:tbl>
      <w:tblPr>
        <w:tblStyle w:val="8"/>
        <w:tblW w:w="1051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4"/>
        <w:gridCol w:w="2002"/>
        <w:gridCol w:w="3823"/>
        <w:gridCol w:w="17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495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收入</w:t>
            </w:r>
          </w:p>
        </w:tc>
        <w:tc>
          <w:tcPr>
            <w:tcW w:w="55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29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</w:t>
            </w: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预算数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29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一、本年收入</w:t>
            </w: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398.26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一、本年支出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398.26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29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（一）一般公共预算财政拨款</w:t>
            </w: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Hiragino Sans GB" w:hAnsi="Hiragino Sans GB" w:eastAsia="Hiragino Sans GB" w:cs="Hiragino Sans GB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398.26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（一）一般公共服务支出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Hiragino Sans GB" w:hAnsi="Hiragino Sans GB" w:eastAsia="Hiragino Sans GB" w:cs="Hiragino Sans GB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29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（二）政府性基金预算财政拨款</w:t>
            </w: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（二）外交支出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29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（三）国有资本经营预算财政拨款</w:t>
            </w: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（三）国防支出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29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（四）公共安全支出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29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（五）教育支出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29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（六）科学技术支出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21" w:hRule="atLeast"/>
        </w:trPr>
        <w:tc>
          <w:tcPr>
            <w:tcW w:w="29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（七）文化体育与传媒支出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29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（八）社会保障和就业支出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Hiragino Sans GB" w:hAnsi="Hiragino Sans GB" w:eastAsia="Hiragino Sans GB" w:cs="Hiragino Sans GB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11.68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29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（九）社会保险基金支出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29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（十）医疗卫生与计划生育支出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Hiragino Sans GB" w:hAnsi="Hiragino Sans GB" w:eastAsia="Hiragino Sans GB" w:cs="Hiragino Sans GB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11.81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29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（十一）节能环保支出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29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（十二）城乡社区支出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29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（十三）农林水支出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29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（十四）交通运输支出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29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（十五）资源勘探信息等支出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29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（十六）商业服务业等支出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29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（十七）金融支出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29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（十八）援助其他地区支出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29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（十九）国土海洋气象等支出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29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（二十）住房保障支出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Hiragino Sans GB" w:hAnsi="Hiragino Sans GB" w:eastAsia="Hiragino Sans GB" w:cs="Hiragino Sans GB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27.77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29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（二十一）粮油物资储备支出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29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（二十二）国有资本经营预算支出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29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（二十三）灾害防治及应急管理支出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29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（二十四）预备费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29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（二十五）其他支出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21" w:hRule="atLeast"/>
        </w:trPr>
        <w:tc>
          <w:tcPr>
            <w:tcW w:w="29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（二十六）债务还本支出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29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（二十七）债务付息支出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29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（二十八）债务发行费用支出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29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29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default" w:ascii="Hiragino Sans GB" w:hAnsi="Hiragino Sans GB" w:eastAsia="Hiragino Sans GB" w:cs="Hiragino Sans GB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29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收入总计</w:t>
            </w: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398.26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支出总计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398.26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05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备注：无内容应公开空表并说明情况。</w:t>
            </w:r>
          </w:p>
        </w:tc>
      </w:tr>
    </w:tbl>
    <w:p>
      <w:pPr>
        <w:rPr>
          <w:rFonts w:ascii="仿宋_GB2312" w:hAnsi="微软雅黑" w:eastAsia="仿宋_GB2312"/>
          <w:sz w:val="18"/>
          <w:szCs w:val="18"/>
        </w:rPr>
      </w:pP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tabs>
          <w:tab w:val="left" w:pos="2784"/>
        </w:tabs>
        <w:rPr>
          <w:rFonts w:ascii="仿宋_GB2312" w:hAnsi="微软雅黑" w:eastAsia="仿宋_GB2312"/>
          <w:sz w:val="18"/>
          <w:szCs w:val="18"/>
        </w:rPr>
      </w:pPr>
    </w:p>
    <w:p>
      <w:pPr>
        <w:tabs>
          <w:tab w:val="left" w:pos="2784"/>
        </w:tabs>
        <w:rPr>
          <w:rFonts w:ascii="仿宋_GB2312" w:hAnsi="微软雅黑" w:eastAsia="仿宋_GB2312"/>
          <w:sz w:val="18"/>
          <w:szCs w:val="18"/>
        </w:rPr>
        <w:sectPr>
          <w:pgSz w:w="11906" w:h="16838"/>
          <w:pgMar w:top="1134" w:right="1134" w:bottom="1134" w:left="1134" w:header="851" w:footer="992" w:gutter="0"/>
          <w:cols w:space="425" w:num="1"/>
          <w:docGrid w:type="lines" w:linePitch="312" w:charSpace="0"/>
        </w:sectPr>
      </w:pPr>
      <w:r>
        <w:rPr>
          <w:rFonts w:ascii="仿宋_GB2312" w:hAnsi="微软雅黑" w:eastAsia="仿宋_GB2312"/>
          <w:sz w:val="18"/>
          <w:szCs w:val="18"/>
        </w:rPr>
        <w:tab/>
      </w:r>
    </w:p>
    <w:p>
      <w:pPr>
        <w:spacing w:line="600" w:lineRule="exact"/>
        <w:jc w:val="center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表五、财政拨款支出表</w:t>
      </w:r>
    </w:p>
    <w:p>
      <w:pPr>
        <w:jc w:val="right"/>
        <w:rPr>
          <w:rFonts w:ascii="宋体" w:hAnsi="宋体" w:cs="Arial"/>
          <w:color w:val="000000"/>
          <w:kern w:val="0"/>
          <w:sz w:val="18"/>
          <w:szCs w:val="18"/>
        </w:rPr>
      </w:pPr>
      <w:r>
        <w:rPr>
          <w:rFonts w:hint="eastAsia" w:ascii="宋体" w:hAnsi="宋体" w:cs="Arial"/>
          <w:color w:val="000000"/>
          <w:kern w:val="0"/>
          <w:sz w:val="18"/>
          <w:szCs w:val="18"/>
        </w:rPr>
        <w:t>单位：万元</w:t>
      </w:r>
    </w:p>
    <w:tbl>
      <w:tblPr>
        <w:tblStyle w:val="8"/>
        <w:tblW w:w="1557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67"/>
        <w:gridCol w:w="1253"/>
        <w:gridCol w:w="1204"/>
        <w:gridCol w:w="1204"/>
        <w:gridCol w:w="1302"/>
        <w:gridCol w:w="1155"/>
        <w:gridCol w:w="1285"/>
        <w:gridCol w:w="1204"/>
        <w:gridCol w:w="1090"/>
        <w:gridCol w:w="1171"/>
        <w:gridCol w:w="13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3367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2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合计</w:t>
            </w:r>
          </w:p>
        </w:tc>
        <w:tc>
          <w:tcPr>
            <w:tcW w:w="37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一般公共预算支出</w:t>
            </w:r>
          </w:p>
        </w:tc>
        <w:tc>
          <w:tcPr>
            <w:tcW w:w="36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政府性基金预算支出</w:t>
            </w:r>
          </w:p>
        </w:tc>
        <w:tc>
          <w:tcPr>
            <w:tcW w:w="35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国有资本经营预算支出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3367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合计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基本支出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项目支出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合计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基本支出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项目支出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合计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基本支出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项目支出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33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合计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398.26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398.26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398.26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33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积石山县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统计局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398.26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398.26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398.26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55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备注：无内容应公开空表并说明情况。</w:t>
            </w:r>
          </w:p>
        </w:tc>
      </w:tr>
    </w:tbl>
    <w:p>
      <w:pPr>
        <w:rPr>
          <w:rFonts w:ascii="仿宋_GB2312" w:hAnsi="微软雅黑" w:eastAsia="仿宋_GB2312"/>
          <w:sz w:val="18"/>
          <w:szCs w:val="18"/>
        </w:rPr>
      </w:pP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tabs>
          <w:tab w:val="left" w:pos="3936"/>
        </w:tabs>
        <w:rPr>
          <w:rFonts w:ascii="仿宋_GB2312" w:hAnsi="微软雅黑" w:eastAsia="仿宋_GB2312"/>
          <w:sz w:val="18"/>
          <w:szCs w:val="18"/>
        </w:rPr>
      </w:pPr>
      <w:r>
        <w:rPr>
          <w:rFonts w:ascii="仿宋_GB2312" w:hAnsi="微软雅黑" w:eastAsia="仿宋_GB2312"/>
          <w:sz w:val="18"/>
          <w:szCs w:val="18"/>
        </w:rPr>
        <w:tab/>
      </w:r>
    </w:p>
    <w:p>
      <w:pPr>
        <w:tabs>
          <w:tab w:val="left" w:pos="3936"/>
        </w:tabs>
        <w:rPr>
          <w:rFonts w:ascii="仿宋_GB2312" w:hAnsi="微软雅黑" w:eastAsia="仿宋_GB2312"/>
          <w:sz w:val="18"/>
          <w:szCs w:val="18"/>
        </w:rPr>
        <w:sectPr>
          <w:pgSz w:w="16838" w:h="11906" w:orient="landscape"/>
          <w:pgMar w:top="1134" w:right="1134" w:bottom="1134" w:left="1134" w:header="851" w:footer="992" w:gutter="0"/>
          <w:cols w:space="425" w:num="1"/>
          <w:docGrid w:type="lines" w:linePitch="312" w:charSpace="0"/>
        </w:sectPr>
      </w:pPr>
      <w:r>
        <w:rPr>
          <w:rFonts w:ascii="仿宋_GB2312" w:hAnsi="微软雅黑" w:eastAsia="仿宋_GB2312"/>
          <w:sz w:val="18"/>
          <w:szCs w:val="18"/>
        </w:rPr>
        <w:tab/>
      </w:r>
    </w:p>
    <w:p>
      <w:pPr>
        <w:spacing w:line="600" w:lineRule="exact"/>
        <w:jc w:val="center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表六、一般公共预算支出情况表</w:t>
      </w:r>
    </w:p>
    <w:p>
      <w:pPr>
        <w:jc w:val="righ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宋体" w:hAnsi="宋体" w:cs="Arial"/>
          <w:color w:val="000000"/>
          <w:kern w:val="0"/>
          <w:sz w:val="18"/>
          <w:szCs w:val="18"/>
        </w:rPr>
        <w:t>单位：万元</w:t>
      </w:r>
    </w:p>
    <w:tbl>
      <w:tblPr>
        <w:tblStyle w:val="8"/>
        <w:tblW w:w="1053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6"/>
        <w:gridCol w:w="3092"/>
        <w:gridCol w:w="1839"/>
        <w:gridCol w:w="1920"/>
        <w:gridCol w:w="200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476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功能分类科目</w:t>
            </w:r>
          </w:p>
        </w:tc>
        <w:tc>
          <w:tcPr>
            <w:tcW w:w="57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一般公共预算支出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6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科目编码</w:t>
            </w:r>
          </w:p>
        </w:tc>
        <w:tc>
          <w:tcPr>
            <w:tcW w:w="3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科目名称</w:t>
            </w: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合计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基本支出</w:t>
            </w: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项目支出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6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合计</w:t>
            </w: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398.26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398.26</w:t>
            </w: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FFFFFF" w:fill="FFFFFF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6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</w:t>
            </w:r>
          </w:p>
        </w:tc>
        <w:tc>
          <w:tcPr>
            <w:tcW w:w="3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一般公共服务支出</w:t>
            </w: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347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347</w:t>
            </w: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6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2010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501</w:t>
            </w:r>
          </w:p>
        </w:tc>
        <w:tc>
          <w:tcPr>
            <w:tcW w:w="3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行政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运行</w:t>
            </w: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347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347</w:t>
            </w: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6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208</w:t>
            </w:r>
          </w:p>
        </w:tc>
        <w:tc>
          <w:tcPr>
            <w:tcW w:w="3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社会保障和就业支出</w:t>
            </w: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11.68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11.68</w:t>
            </w: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6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20805</w:t>
            </w:r>
          </w:p>
        </w:tc>
        <w:tc>
          <w:tcPr>
            <w:tcW w:w="3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行政事业单位养老支出</w:t>
            </w: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11.68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11.68</w:t>
            </w: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6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2080505</w:t>
            </w:r>
          </w:p>
        </w:tc>
        <w:tc>
          <w:tcPr>
            <w:tcW w:w="3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机关事业单位基本养老保险缴费支出</w:t>
            </w: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11.68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11.68</w:t>
            </w: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6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</w:t>
            </w:r>
          </w:p>
        </w:tc>
        <w:tc>
          <w:tcPr>
            <w:tcW w:w="3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卫生健康支出</w:t>
            </w: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11.81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11.81</w:t>
            </w: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6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21011</w:t>
            </w:r>
          </w:p>
        </w:tc>
        <w:tc>
          <w:tcPr>
            <w:tcW w:w="3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行政事业单位医疗</w:t>
            </w: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11.81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11.81</w:t>
            </w: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6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2101102</w:t>
            </w:r>
          </w:p>
        </w:tc>
        <w:tc>
          <w:tcPr>
            <w:tcW w:w="3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事业单位医疗</w:t>
            </w: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11.81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11.81</w:t>
            </w: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6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</w:t>
            </w:r>
          </w:p>
        </w:tc>
        <w:tc>
          <w:tcPr>
            <w:tcW w:w="3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住房保障支出</w:t>
            </w: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27.77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27.77</w:t>
            </w: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6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22102</w:t>
            </w:r>
          </w:p>
        </w:tc>
        <w:tc>
          <w:tcPr>
            <w:tcW w:w="3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住房改革支出</w:t>
            </w: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27.77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27.77</w:t>
            </w: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6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2210201</w:t>
            </w:r>
          </w:p>
        </w:tc>
        <w:tc>
          <w:tcPr>
            <w:tcW w:w="3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住房公积金</w:t>
            </w: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27.77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27.77</w:t>
            </w: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05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备注：无内容应公开空表并说明情况。</w:t>
            </w:r>
          </w:p>
        </w:tc>
      </w:tr>
    </w:tbl>
    <w:p>
      <w:pPr>
        <w:rPr>
          <w:rFonts w:ascii="仿宋_GB2312" w:hAnsi="微软雅黑" w:eastAsia="仿宋_GB2312"/>
          <w:sz w:val="18"/>
          <w:szCs w:val="18"/>
        </w:rPr>
      </w:pP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tabs>
          <w:tab w:val="left" w:pos="2472"/>
        </w:tabs>
        <w:rPr>
          <w:rFonts w:ascii="仿宋_GB2312" w:hAnsi="微软雅黑" w:eastAsia="仿宋_GB2312"/>
          <w:sz w:val="18"/>
          <w:szCs w:val="18"/>
        </w:rPr>
      </w:pPr>
      <w:r>
        <w:rPr>
          <w:rFonts w:ascii="仿宋_GB2312" w:hAnsi="微软雅黑" w:eastAsia="仿宋_GB2312"/>
          <w:sz w:val="18"/>
          <w:szCs w:val="18"/>
        </w:rPr>
        <w:tab/>
      </w:r>
    </w:p>
    <w:p>
      <w:pPr>
        <w:tabs>
          <w:tab w:val="left" w:pos="2472"/>
        </w:tabs>
        <w:rPr>
          <w:rFonts w:ascii="仿宋_GB2312" w:hAnsi="微软雅黑" w:eastAsia="仿宋_GB2312"/>
          <w:sz w:val="18"/>
          <w:szCs w:val="18"/>
        </w:rPr>
        <w:sectPr>
          <w:pgSz w:w="11906" w:h="16838"/>
          <w:pgMar w:top="1134" w:right="1134" w:bottom="1134" w:left="1134" w:header="851" w:footer="992" w:gutter="0"/>
          <w:cols w:space="425" w:num="1"/>
          <w:docGrid w:type="lines" w:linePitch="312" w:charSpace="0"/>
        </w:sectPr>
      </w:pPr>
      <w:r>
        <w:rPr>
          <w:rFonts w:ascii="仿宋_GB2312" w:hAnsi="微软雅黑" w:eastAsia="仿宋_GB2312"/>
          <w:sz w:val="18"/>
          <w:szCs w:val="18"/>
        </w:rPr>
        <w:tab/>
      </w:r>
    </w:p>
    <w:p>
      <w:pPr>
        <w:spacing w:line="600" w:lineRule="exact"/>
        <w:jc w:val="center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表七、一般公共预算基本支出情况表</w:t>
      </w:r>
    </w:p>
    <w:p>
      <w:pPr>
        <w:jc w:val="righ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宋体" w:hAnsi="宋体" w:cs="Arial"/>
          <w:color w:val="000000"/>
          <w:kern w:val="0"/>
          <w:sz w:val="18"/>
          <w:szCs w:val="18"/>
        </w:rPr>
        <w:t>单位：万元</w:t>
      </w:r>
    </w:p>
    <w:tbl>
      <w:tblPr>
        <w:tblStyle w:val="8"/>
        <w:tblW w:w="1056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0"/>
        <w:gridCol w:w="3855"/>
        <w:gridCol w:w="1725"/>
        <w:gridCol w:w="1807"/>
        <w:gridCol w:w="16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21" w:hRule="atLeast"/>
        </w:trPr>
        <w:tc>
          <w:tcPr>
            <w:tcW w:w="533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经济分类科目</w:t>
            </w:r>
          </w:p>
        </w:tc>
        <w:tc>
          <w:tcPr>
            <w:tcW w:w="52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一般公共预算基本支出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科目编码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科目名称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合计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人员经费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公用经费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合计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398.26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347.26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商品和服务支出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30203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咨询费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0.3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30201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办公费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30202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印刷费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30207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邮电费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30226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劳务费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0.81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30211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差旅费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30206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电费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0.85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301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工资福利支出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347.26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347.26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30111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公务员医疗补助缴费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2.47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2.47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30101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基本工资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107.9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107.9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30102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津贴补贴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123.58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123.58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30108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社保缴费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11.68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11.68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30103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奖金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29.2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29.2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30112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其他社会保障缴费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32.83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32.83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30110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职工基本医疗保险缴费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11.81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11.81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30113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住房公积金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27.77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27.77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0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备注：无内容应公开空表并说明情况。</w:t>
            </w:r>
          </w:p>
        </w:tc>
      </w:tr>
    </w:tbl>
    <w:p>
      <w:pPr>
        <w:rPr>
          <w:rFonts w:ascii="仿宋_GB2312" w:hAnsi="微软雅黑" w:eastAsia="仿宋_GB2312"/>
          <w:sz w:val="18"/>
          <w:szCs w:val="18"/>
        </w:rPr>
      </w:pP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tabs>
          <w:tab w:val="left" w:pos="1512"/>
        </w:tabs>
        <w:rPr>
          <w:rFonts w:ascii="宋体" w:hAnsi="宋体"/>
          <w:sz w:val="18"/>
          <w:szCs w:val="18"/>
        </w:rPr>
      </w:pPr>
      <w:r>
        <w:rPr>
          <w:rFonts w:ascii="宋体" w:hAnsi="宋体"/>
          <w:sz w:val="18"/>
          <w:szCs w:val="18"/>
        </w:rPr>
        <w:tab/>
      </w:r>
    </w:p>
    <w:p>
      <w:pPr>
        <w:tabs>
          <w:tab w:val="left" w:pos="1512"/>
        </w:tabs>
        <w:rPr>
          <w:rFonts w:ascii="仿宋_GB2312" w:hAnsi="微软雅黑" w:eastAsia="仿宋_GB2312"/>
          <w:sz w:val="18"/>
          <w:szCs w:val="18"/>
        </w:rPr>
        <w:sectPr>
          <w:pgSz w:w="11906" w:h="16838"/>
          <w:pgMar w:top="1134" w:right="1134" w:bottom="1134" w:left="1134" w:header="851" w:footer="992" w:gutter="0"/>
          <w:cols w:space="425" w:num="1"/>
          <w:docGrid w:type="lines" w:linePitch="312" w:charSpace="0"/>
        </w:sectPr>
      </w:pPr>
      <w:r>
        <w:rPr>
          <w:rFonts w:ascii="仿宋_GB2312" w:hAnsi="微软雅黑" w:eastAsia="仿宋_GB2312"/>
          <w:sz w:val="18"/>
          <w:szCs w:val="18"/>
        </w:rPr>
        <w:tab/>
      </w:r>
    </w:p>
    <w:p>
      <w:pPr>
        <w:spacing w:line="600" w:lineRule="exact"/>
        <w:jc w:val="center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表八、一般公共预算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财政拨款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“三公”经费、会议费、培训费支出情况表</w:t>
      </w:r>
    </w:p>
    <w:p>
      <w:pPr>
        <w:jc w:val="righ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宋体" w:hAnsi="宋体" w:cs="Arial"/>
          <w:color w:val="000000"/>
          <w:kern w:val="0"/>
          <w:sz w:val="18"/>
          <w:szCs w:val="18"/>
        </w:rPr>
        <w:t>单位：万元</w:t>
      </w:r>
    </w:p>
    <w:tbl>
      <w:tblPr>
        <w:tblStyle w:val="8"/>
        <w:tblW w:w="1585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90"/>
        <w:gridCol w:w="1709"/>
        <w:gridCol w:w="1549"/>
        <w:gridCol w:w="1171"/>
        <w:gridCol w:w="1171"/>
        <w:gridCol w:w="1171"/>
        <w:gridCol w:w="1448"/>
        <w:gridCol w:w="15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6097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677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“三公”经费</w:t>
            </w:r>
          </w:p>
        </w:tc>
        <w:tc>
          <w:tcPr>
            <w:tcW w:w="14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会议费</w:t>
            </w:r>
          </w:p>
        </w:tc>
        <w:tc>
          <w:tcPr>
            <w:tcW w:w="15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培训费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6097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合计</w:t>
            </w:r>
          </w:p>
        </w:tc>
        <w:tc>
          <w:tcPr>
            <w:tcW w:w="15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因公出国（境）费用</w:t>
            </w:r>
          </w:p>
        </w:tc>
        <w:tc>
          <w:tcPr>
            <w:tcW w:w="11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公务接待费</w:t>
            </w:r>
          </w:p>
        </w:tc>
        <w:tc>
          <w:tcPr>
            <w:tcW w:w="23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公务用车购置和运行费</w:t>
            </w:r>
          </w:p>
        </w:tc>
        <w:tc>
          <w:tcPr>
            <w:tcW w:w="14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6097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公务用车购置费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公务用车运行费</w:t>
            </w:r>
          </w:p>
        </w:tc>
        <w:tc>
          <w:tcPr>
            <w:tcW w:w="14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6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6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60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58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备注：无内容应公开空表并说明情况。</w:t>
            </w:r>
          </w:p>
        </w:tc>
      </w:tr>
    </w:tbl>
    <w:p>
      <w:pPr>
        <w:rPr>
          <w:rFonts w:ascii="仿宋_GB2312" w:hAnsi="微软雅黑" w:eastAsia="仿宋_GB2312"/>
          <w:sz w:val="18"/>
          <w:szCs w:val="18"/>
        </w:rPr>
      </w:pP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tabs>
          <w:tab w:val="left" w:pos="1812"/>
        </w:tabs>
        <w:rPr>
          <w:rFonts w:ascii="仿宋_GB2312" w:hAnsi="微软雅黑" w:eastAsia="仿宋_GB2312"/>
          <w:sz w:val="18"/>
          <w:szCs w:val="18"/>
        </w:rPr>
      </w:pPr>
      <w:r>
        <w:rPr>
          <w:rFonts w:ascii="仿宋_GB2312" w:hAnsi="微软雅黑" w:eastAsia="仿宋_GB2312"/>
          <w:sz w:val="18"/>
          <w:szCs w:val="18"/>
        </w:rPr>
        <w:tab/>
      </w:r>
    </w:p>
    <w:p>
      <w:pPr>
        <w:tabs>
          <w:tab w:val="left" w:pos="1812"/>
        </w:tabs>
        <w:rPr>
          <w:rFonts w:ascii="仿宋_GB2312" w:hAnsi="微软雅黑" w:eastAsia="仿宋_GB2312"/>
          <w:sz w:val="18"/>
          <w:szCs w:val="18"/>
        </w:rPr>
        <w:sectPr>
          <w:pgSz w:w="16838" w:h="11906" w:orient="landscape"/>
          <w:pgMar w:top="1134" w:right="1134" w:bottom="1134" w:left="1134" w:header="851" w:footer="992" w:gutter="0"/>
          <w:cols w:space="425" w:num="1"/>
          <w:docGrid w:type="lines" w:linePitch="312" w:charSpace="0"/>
        </w:sectPr>
      </w:pPr>
      <w:r>
        <w:rPr>
          <w:rFonts w:ascii="仿宋_GB2312" w:hAnsi="微软雅黑" w:eastAsia="仿宋_GB2312"/>
          <w:sz w:val="18"/>
          <w:szCs w:val="18"/>
        </w:rPr>
        <w:tab/>
      </w:r>
    </w:p>
    <w:p>
      <w:pPr>
        <w:spacing w:line="600" w:lineRule="exact"/>
        <w:jc w:val="center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表九、一般公共预算财政拨款机关运行经费表</w:t>
      </w:r>
    </w:p>
    <w:p>
      <w:pPr>
        <w:wordWrap w:val="0"/>
        <w:jc w:val="right"/>
        <w:rPr>
          <w:rFonts w:ascii="宋体" w:hAnsi="宋体" w:cs="Arial"/>
          <w:color w:val="000000"/>
          <w:kern w:val="0"/>
          <w:sz w:val="18"/>
          <w:szCs w:val="18"/>
        </w:rPr>
      </w:pPr>
      <w:r>
        <w:rPr>
          <w:rFonts w:hint="eastAsia" w:ascii="宋体" w:hAnsi="宋体" w:cs="Arial"/>
          <w:color w:val="000000"/>
          <w:kern w:val="0"/>
          <w:sz w:val="18"/>
          <w:szCs w:val="18"/>
        </w:rPr>
        <w:t xml:space="preserve">单位：万元 </w:t>
      </w:r>
    </w:p>
    <w:tbl>
      <w:tblPr>
        <w:tblStyle w:val="8"/>
        <w:tblW w:w="1042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1"/>
        <w:gridCol w:w="4017"/>
        <w:gridCol w:w="1675"/>
        <w:gridCol w:w="1789"/>
        <w:gridCol w:w="177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1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4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合计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基本支出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项目支出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1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</w:t>
            </w:r>
          </w:p>
        </w:tc>
        <w:tc>
          <w:tcPr>
            <w:tcW w:w="4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1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合计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1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4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04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备注：无内容应公开空表并说明情况。</w:t>
            </w:r>
          </w:p>
        </w:tc>
      </w:tr>
    </w:tbl>
    <w:p>
      <w:pPr>
        <w:spacing w:line="600" w:lineRule="exact"/>
        <w:jc w:val="both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spacing w:line="600" w:lineRule="exact"/>
        <w:jc w:val="center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spacing w:line="600" w:lineRule="exact"/>
        <w:jc w:val="center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spacing w:line="600" w:lineRule="exact"/>
        <w:jc w:val="center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spacing w:line="600" w:lineRule="exact"/>
        <w:jc w:val="center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spacing w:line="600" w:lineRule="exact"/>
        <w:jc w:val="center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spacing w:line="600" w:lineRule="exact"/>
        <w:jc w:val="center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spacing w:line="600" w:lineRule="exact"/>
        <w:jc w:val="center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spacing w:line="600" w:lineRule="exact"/>
        <w:jc w:val="center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spacing w:line="600" w:lineRule="exact"/>
        <w:jc w:val="center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spacing w:line="600" w:lineRule="exact"/>
        <w:jc w:val="center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spacing w:line="600" w:lineRule="exact"/>
        <w:jc w:val="center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spacing w:line="600" w:lineRule="exact"/>
        <w:jc w:val="center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spacing w:line="600" w:lineRule="exact"/>
        <w:jc w:val="center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spacing w:line="600" w:lineRule="exact"/>
        <w:jc w:val="center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spacing w:line="600" w:lineRule="exact"/>
        <w:jc w:val="center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spacing w:line="600" w:lineRule="exact"/>
        <w:jc w:val="center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spacing w:line="600" w:lineRule="exact"/>
        <w:jc w:val="center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表十、政府性基金预算支出情况表</w:t>
      </w:r>
    </w:p>
    <w:p>
      <w:pPr>
        <w:wordWrap w:val="0"/>
        <w:jc w:val="right"/>
        <w:rPr>
          <w:rFonts w:ascii="宋体" w:hAnsi="宋体" w:cs="Arial"/>
          <w:color w:val="000000"/>
          <w:kern w:val="0"/>
          <w:sz w:val="18"/>
          <w:szCs w:val="18"/>
        </w:rPr>
      </w:pPr>
      <w:r>
        <w:rPr>
          <w:rFonts w:hint="eastAsia" w:ascii="宋体" w:hAnsi="宋体" w:cs="Arial"/>
          <w:color w:val="000000"/>
          <w:kern w:val="0"/>
          <w:sz w:val="18"/>
          <w:szCs w:val="18"/>
        </w:rPr>
        <w:t xml:space="preserve">单位：万元 </w:t>
      </w:r>
    </w:p>
    <w:tbl>
      <w:tblPr>
        <w:tblStyle w:val="8"/>
        <w:tblW w:w="9498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55"/>
        <w:gridCol w:w="18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tblHeader/>
        </w:trPr>
        <w:tc>
          <w:tcPr>
            <w:tcW w:w="765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0"/>
                <w:szCs w:val="20"/>
              </w:rPr>
              <w:t>项目</w:t>
            </w:r>
          </w:p>
        </w:tc>
        <w:tc>
          <w:tcPr>
            <w:tcW w:w="18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0"/>
                <w:szCs w:val="20"/>
              </w:rPr>
              <w:t>预算数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tblHeader/>
        </w:trPr>
        <w:tc>
          <w:tcPr>
            <w:tcW w:w="765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tblHeader/>
        </w:trPr>
        <w:tc>
          <w:tcPr>
            <w:tcW w:w="7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**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总计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widowControl/>
        <w:spacing w:line="560" w:lineRule="exact"/>
        <w:ind w:firstLine="360" w:firstLineChars="200"/>
        <w:jc w:val="left"/>
        <w:rPr>
          <w:rFonts w:ascii="仿宋_GB2312" w:hAnsi="微软雅黑" w:eastAsia="仿宋_GB2312"/>
          <w:sz w:val="18"/>
          <w:szCs w:val="18"/>
        </w:rPr>
        <w:sectPr>
          <w:pgSz w:w="11906" w:h="16838"/>
          <w:pgMar w:top="1134" w:right="1134" w:bottom="1134" w:left="1134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hAnsi="微软雅黑" w:eastAsia="仿宋_GB2312"/>
          <w:sz w:val="18"/>
          <w:szCs w:val="18"/>
        </w:rPr>
        <w:t>备注：无内容应公开空表并说明情况。</w:t>
      </w:r>
    </w:p>
    <w:p>
      <w:pPr>
        <w:spacing w:line="600" w:lineRule="exact"/>
        <w:jc w:val="center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表十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一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、国有资本经营预算支出情况表</w:t>
      </w:r>
    </w:p>
    <w:p>
      <w:pPr>
        <w:wordWrap w:val="0"/>
        <w:jc w:val="right"/>
        <w:rPr>
          <w:rFonts w:ascii="宋体" w:hAnsi="宋体" w:cs="Arial"/>
          <w:color w:val="000000"/>
          <w:kern w:val="0"/>
          <w:sz w:val="18"/>
          <w:szCs w:val="18"/>
        </w:rPr>
      </w:pPr>
      <w:r>
        <w:rPr>
          <w:rFonts w:hint="eastAsia" w:ascii="宋体" w:hAnsi="宋体" w:cs="Arial"/>
          <w:color w:val="000000"/>
          <w:kern w:val="0"/>
          <w:sz w:val="18"/>
          <w:szCs w:val="18"/>
        </w:rPr>
        <w:t xml:space="preserve">单位：万元 </w:t>
      </w:r>
    </w:p>
    <w:tbl>
      <w:tblPr>
        <w:tblStyle w:val="8"/>
        <w:tblW w:w="9498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55"/>
        <w:gridCol w:w="1843"/>
      </w:tblGrid>
      <w:tr>
        <w:trPr>
          <w:trHeight w:val="312" w:hRule="atLeast"/>
          <w:tblHeader/>
        </w:trPr>
        <w:tc>
          <w:tcPr>
            <w:tcW w:w="765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0"/>
                <w:szCs w:val="20"/>
              </w:rPr>
              <w:t>项目</w:t>
            </w:r>
          </w:p>
        </w:tc>
        <w:tc>
          <w:tcPr>
            <w:tcW w:w="18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0"/>
                <w:szCs w:val="20"/>
              </w:rPr>
              <w:t>预算数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tblHeader/>
        </w:trPr>
        <w:tc>
          <w:tcPr>
            <w:tcW w:w="765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tblHeader/>
        </w:trPr>
        <w:tc>
          <w:tcPr>
            <w:tcW w:w="7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**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总计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rPr>
          <w:trHeight w:val="20" w:hRule="atLeast"/>
        </w:trPr>
        <w:tc>
          <w:tcPr>
            <w:tcW w:w="7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widowControl/>
        <w:spacing w:line="560" w:lineRule="exact"/>
        <w:ind w:firstLine="360" w:firstLineChars="200"/>
        <w:jc w:val="left"/>
        <w:rPr>
          <w:rFonts w:ascii="仿宋_GB2312" w:hAnsi="微软雅黑" w:eastAsia="仿宋_GB2312"/>
          <w:sz w:val="18"/>
          <w:szCs w:val="18"/>
        </w:rPr>
        <w:sectPr>
          <w:pgSz w:w="11906" w:h="16838"/>
          <w:pgMar w:top="1134" w:right="1134" w:bottom="1134" w:left="1134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hAnsi="微软雅黑" w:eastAsia="仿宋_GB2312"/>
          <w:sz w:val="18"/>
          <w:szCs w:val="18"/>
        </w:rPr>
        <w:t>备注：无内容应公开空表并说明情况。</w:t>
      </w:r>
    </w:p>
    <w:p>
      <w:pPr>
        <w:spacing w:line="360" w:lineRule="exact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附件2</w:t>
      </w:r>
    </w:p>
    <w:p>
      <w:pPr>
        <w:spacing w:line="560" w:lineRule="exact"/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部门/单位整体支出绩效目标表</w:t>
      </w:r>
    </w:p>
    <w:p>
      <w:pPr>
        <w:spacing w:line="560" w:lineRule="exact"/>
        <w:jc w:val="center"/>
        <w:rPr>
          <w:rFonts w:ascii="仿宋_GB2312" w:eastAsia="仿宋_GB2312"/>
          <w:b/>
          <w:sz w:val="24"/>
          <w:szCs w:val="24"/>
        </w:rPr>
      </w:pPr>
      <w:r>
        <w:rPr>
          <w:rFonts w:hint="eastAsia" w:ascii="仿宋_GB2312" w:eastAsia="仿宋_GB2312"/>
          <w:b/>
          <w:sz w:val="24"/>
          <w:szCs w:val="24"/>
        </w:rPr>
        <w:t>（2024年度）</w:t>
      </w:r>
    </w:p>
    <w:tbl>
      <w:tblPr>
        <w:tblStyle w:val="8"/>
        <w:tblW w:w="874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9"/>
        <w:gridCol w:w="1625"/>
        <w:gridCol w:w="846"/>
        <w:gridCol w:w="817"/>
        <w:gridCol w:w="1537"/>
        <w:gridCol w:w="1738"/>
        <w:gridCol w:w="153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3110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部门（单位）名称</w:t>
            </w:r>
          </w:p>
        </w:tc>
        <w:tc>
          <w:tcPr>
            <w:tcW w:w="563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6" w:hRule="atLeast"/>
          <w:jc w:val="center"/>
        </w:trPr>
        <w:tc>
          <w:tcPr>
            <w:tcW w:w="63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  <w:tl2br w:val="nil"/>
              <w:tr2bl w:val="nil"/>
            </w:tcBorders>
            <w:textDirection w:val="tbLrV"/>
            <w:vAlign w:val="center"/>
          </w:tcPr>
          <w:p>
            <w:pPr>
              <w:ind w:left="113" w:right="113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总 体 目 标</w:t>
            </w:r>
          </w:p>
        </w:tc>
        <w:tc>
          <w:tcPr>
            <w:tcW w:w="8101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目标1：</w:t>
            </w:r>
          </w:p>
          <w:p>
            <w:pPr>
              <w:widowControl/>
              <w:spacing w:line="360" w:lineRule="exact"/>
              <w:jc w:val="left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目标2：</w:t>
            </w:r>
          </w:p>
          <w:p>
            <w:pPr>
              <w:widowControl/>
              <w:spacing w:line="360" w:lineRule="exact"/>
              <w:jc w:val="left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目标3：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39" w:type="dxa"/>
            <w:vMerge w:val="restart"/>
            <w:tcBorders>
              <w:top w:val="single" w:color="000000" w:sz="6" w:space="0"/>
              <w:left w:val="nil"/>
              <w:right w:val="single" w:color="000000" w:sz="6" w:space="0"/>
              <w:tl2br w:val="nil"/>
              <w:tr2bl w:val="nil"/>
            </w:tcBorders>
            <w:textDirection w:val="tbLrV"/>
            <w:vAlign w:val="center"/>
          </w:tcPr>
          <w:p>
            <w:pPr>
              <w:ind w:left="113" w:right="113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预 算 情 况（万元）</w:t>
            </w:r>
          </w:p>
        </w:tc>
        <w:tc>
          <w:tcPr>
            <w:tcW w:w="328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按支出类型分</w:t>
            </w:r>
          </w:p>
        </w:tc>
        <w:tc>
          <w:tcPr>
            <w:tcW w:w="15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预算金额</w:t>
            </w:r>
          </w:p>
        </w:tc>
        <w:tc>
          <w:tcPr>
            <w:tcW w:w="1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按来源类型分</w:t>
            </w:r>
          </w:p>
        </w:tc>
        <w:tc>
          <w:tcPr>
            <w:tcW w:w="15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预算金额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39" w:type="dxa"/>
            <w:vMerge w:val="continue"/>
            <w:tcBorders>
              <w:left w:val="nil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基本支出</w:t>
            </w:r>
          </w:p>
        </w:tc>
        <w:tc>
          <w:tcPr>
            <w:tcW w:w="166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人员经费</w:t>
            </w:r>
          </w:p>
        </w:tc>
        <w:tc>
          <w:tcPr>
            <w:tcW w:w="15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1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当年财政拨款</w:t>
            </w:r>
          </w:p>
        </w:tc>
        <w:tc>
          <w:tcPr>
            <w:tcW w:w="15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39" w:type="dxa"/>
            <w:vMerge w:val="continue"/>
            <w:tcBorders>
              <w:left w:val="nil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vMerge w:val="continue"/>
            <w:tcBorders>
              <w:left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166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公用经费</w:t>
            </w:r>
          </w:p>
        </w:tc>
        <w:tc>
          <w:tcPr>
            <w:tcW w:w="15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1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上年结转资金</w:t>
            </w:r>
          </w:p>
        </w:tc>
        <w:tc>
          <w:tcPr>
            <w:tcW w:w="15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39" w:type="dxa"/>
            <w:vMerge w:val="continue"/>
            <w:tcBorders>
              <w:left w:val="nil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166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合计</w:t>
            </w:r>
          </w:p>
        </w:tc>
        <w:tc>
          <w:tcPr>
            <w:tcW w:w="15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1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其他资金</w:t>
            </w:r>
          </w:p>
        </w:tc>
        <w:tc>
          <w:tcPr>
            <w:tcW w:w="15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39" w:type="dxa"/>
            <w:vMerge w:val="continue"/>
            <w:tcBorders>
              <w:left w:val="nil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3288" w:type="dxa"/>
            <w:gridSpan w:val="3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项目支出</w:t>
            </w:r>
          </w:p>
        </w:tc>
        <w:tc>
          <w:tcPr>
            <w:tcW w:w="1537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1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收入预算合计</w:t>
            </w:r>
          </w:p>
        </w:tc>
        <w:tc>
          <w:tcPr>
            <w:tcW w:w="15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39" w:type="dxa"/>
            <w:vMerge w:val="continue"/>
            <w:tcBorders>
              <w:left w:val="nil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3288" w:type="dxa"/>
            <w:gridSpan w:val="3"/>
            <w:vMerge w:val="continue"/>
            <w:tcBorders>
              <w:left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1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支出预算合计</w:t>
            </w:r>
          </w:p>
        </w:tc>
        <w:tc>
          <w:tcPr>
            <w:tcW w:w="15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39" w:type="dxa"/>
            <w:vMerge w:val="restart"/>
            <w:tcBorders>
              <w:top w:val="single" w:color="000000" w:sz="6" w:space="0"/>
              <w:left w:val="nil"/>
              <w:right w:val="single" w:color="000000" w:sz="6" w:space="0"/>
            </w:tcBorders>
            <w:textDirection w:val="tbLrV"/>
            <w:vAlign w:val="center"/>
          </w:tcPr>
          <w:p>
            <w:pPr>
              <w:ind w:left="113" w:right="113"/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 w:val="18"/>
                <w:szCs w:val="18"/>
              </w:rPr>
              <w:t>绩 效 指 标</w:t>
            </w:r>
          </w:p>
        </w:tc>
        <w:tc>
          <w:tcPr>
            <w:tcW w:w="1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 w:val="18"/>
                <w:szCs w:val="18"/>
              </w:rPr>
              <w:t>一级指标</w:t>
            </w:r>
          </w:p>
        </w:tc>
        <w:tc>
          <w:tcPr>
            <w:tcW w:w="166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 w:val="18"/>
                <w:szCs w:val="18"/>
              </w:rPr>
              <w:t>二级指标</w:t>
            </w:r>
          </w:p>
        </w:tc>
        <w:tc>
          <w:tcPr>
            <w:tcW w:w="15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 w:val="18"/>
                <w:szCs w:val="18"/>
              </w:rPr>
              <w:t>三级指标</w:t>
            </w:r>
          </w:p>
        </w:tc>
        <w:tc>
          <w:tcPr>
            <w:tcW w:w="32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 w:val="18"/>
                <w:szCs w:val="18"/>
              </w:rPr>
              <w:t>指标值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39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 w:val="18"/>
                <w:szCs w:val="18"/>
              </w:rPr>
              <w:t>部门管理</w:t>
            </w:r>
          </w:p>
        </w:tc>
        <w:tc>
          <w:tcPr>
            <w:tcW w:w="166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32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39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6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32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</w:p>
        </w:tc>
      </w:tr>
      <w:tr>
        <w:trPr>
          <w:cantSplit/>
          <w:trHeight w:val="20" w:hRule="atLeast"/>
          <w:jc w:val="center"/>
        </w:trPr>
        <w:tc>
          <w:tcPr>
            <w:tcW w:w="639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6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32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39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 w:val="18"/>
                <w:szCs w:val="18"/>
              </w:rPr>
              <w:t>履职效果</w:t>
            </w:r>
          </w:p>
        </w:tc>
        <w:tc>
          <w:tcPr>
            <w:tcW w:w="166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32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</w:p>
        </w:tc>
      </w:tr>
      <w:tr>
        <w:trPr>
          <w:cantSplit/>
          <w:trHeight w:val="20" w:hRule="atLeast"/>
          <w:jc w:val="center"/>
        </w:trPr>
        <w:tc>
          <w:tcPr>
            <w:tcW w:w="639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6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32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39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6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32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39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 w:val="18"/>
                <w:szCs w:val="18"/>
              </w:rPr>
              <w:t>能力建设</w:t>
            </w:r>
          </w:p>
        </w:tc>
        <w:tc>
          <w:tcPr>
            <w:tcW w:w="166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32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</w:p>
        </w:tc>
      </w:tr>
      <w:tr>
        <w:trPr>
          <w:cantSplit/>
          <w:trHeight w:val="20" w:hRule="atLeast"/>
          <w:jc w:val="center"/>
        </w:trPr>
        <w:tc>
          <w:tcPr>
            <w:tcW w:w="639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6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32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</w:p>
        </w:tc>
      </w:tr>
      <w:tr>
        <w:trPr>
          <w:cantSplit/>
          <w:trHeight w:val="20" w:hRule="atLeast"/>
          <w:jc w:val="center"/>
        </w:trPr>
        <w:tc>
          <w:tcPr>
            <w:tcW w:w="639" w:type="dxa"/>
            <w:vMerge w:val="continue"/>
            <w:tcBorders>
              <w:left w:val="nil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6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32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</w:p>
        </w:tc>
      </w:tr>
    </w:tbl>
    <w:p/>
    <w:p>
      <w:pPr>
        <w:spacing w:line="560" w:lineRule="exact"/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/>
          <w:b/>
          <w:sz w:val="28"/>
          <w:szCs w:val="28"/>
        </w:rPr>
        <w:br w:type="page"/>
      </w:r>
      <w:r>
        <w:rPr>
          <w:rFonts w:hint="eastAsia" w:ascii="仿宋_GB2312" w:eastAsia="仿宋_GB2312"/>
          <w:b/>
          <w:sz w:val="28"/>
          <w:szCs w:val="28"/>
        </w:rPr>
        <w:t>项目支出绩效目标表</w:t>
      </w:r>
    </w:p>
    <w:p>
      <w:pPr>
        <w:spacing w:line="560" w:lineRule="exact"/>
        <w:jc w:val="center"/>
        <w:rPr>
          <w:rFonts w:ascii="仿宋_GB2312" w:eastAsia="仿宋_GB2312"/>
          <w:b/>
          <w:sz w:val="24"/>
          <w:szCs w:val="24"/>
        </w:rPr>
      </w:pPr>
      <w:r>
        <w:rPr>
          <w:rFonts w:hint="eastAsia" w:ascii="仿宋_GB2312" w:eastAsia="仿宋_GB2312"/>
          <w:b/>
          <w:sz w:val="24"/>
          <w:szCs w:val="24"/>
        </w:rPr>
        <w:t>（2024年度）</w:t>
      </w:r>
    </w:p>
    <w:tbl>
      <w:tblPr>
        <w:tblStyle w:val="8"/>
        <w:tblW w:w="5291" w:type="pct"/>
        <w:jc w:val="center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8"/>
        <w:gridCol w:w="1548"/>
        <w:gridCol w:w="108"/>
        <w:gridCol w:w="2782"/>
        <w:gridCol w:w="544"/>
        <w:gridCol w:w="1497"/>
        <w:gridCol w:w="774"/>
        <w:gridCol w:w="2517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</w:tblPrEx>
        <w:trPr>
          <w:trHeight w:val="20" w:hRule="atLeast"/>
          <w:jc w:val="center"/>
        </w:trPr>
        <w:tc>
          <w:tcPr>
            <w:tcW w:w="1057" w:type="pct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3943" w:type="pct"/>
            <w:gridSpan w:val="6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57" w:type="pct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主管部门及</w:t>
            </w:r>
            <w: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  <w:t>代码</w:t>
            </w:r>
          </w:p>
        </w:tc>
        <w:tc>
          <w:tcPr>
            <w:tcW w:w="1647" w:type="pct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089" w:type="pct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1207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57" w:type="pct"/>
            <w:gridSpan w:val="2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项目资金</w:t>
            </w:r>
          </w:p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1647" w:type="pct"/>
            <w:gridSpan w:val="3"/>
            <w:vAlign w:val="center"/>
          </w:tcPr>
          <w:p>
            <w:pPr>
              <w:widowControl/>
              <w:spacing w:line="360" w:lineRule="exact"/>
              <w:jc w:val="left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年度资金总额：</w:t>
            </w:r>
          </w:p>
        </w:tc>
        <w:tc>
          <w:tcPr>
            <w:tcW w:w="2296" w:type="pct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57" w:type="pct"/>
            <w:gridSpan w:val="2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647" w:type="pct"/>
            <w:gridSpan w:val="3"/>
            <w:vAlign w:val="center"/>
          </w:tcPr>
          <w:p>
            <w:pPr>
              <w:widowControl/>
              <w:spacing w:line="360" w:lineRule="exact"/>
              <w:ind w:firstLine="360" w:firstLineChars="200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其中</w:t>
            </w:r>
            <w: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  <w:t>：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当年</w:t>
            </w:r>
            <w: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  <w:t>财政拨款</w:t>
            </w:r>
          </w:p>
        </w:tc>
        <w:tc>
          <w:tcPr>
            <w:tcW w:w="2296" w:type="pct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57" w:type="pct"/>
            <w:gridSpan w:val="2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647" w:type="pct"/>
            <w:gridSpan w:val="3"/>
            <w:vAlign w:val="center"/>
          </w:tcPr>
          <w:p>
            <w:pPr>
              <w:widowControl/>
              <w:spacing w:line="360" w:lineRule="exact"/>
              <w:ind w:firstLine="900" w:firstLineChars="500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上年结转资金</w:t>
            </w:r>
          </w:p>
        </w:tc>
        <w:tc>
          <w:tcPr>
            <w:tcW w:w="2296" w:type="pct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57" w:type="pct"/>
            <w:gridSpan w:val="2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647" w:type="pct"/>
            <w:gridSpan w:val="3"/>
            <w:vAlign w:val="center"/>
          </w:tcPr>
          <w:p>
            <w:pPr>
              <w:widowControl/>
              <w:spacing w:line="360" w:lineRule="exact"/>
              <w:ind w:firstLine="900" w:firstLineChars="500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其他资金</w:t>
            </w:r>
          </w:p>
        </w:tc>
        <w:tc>
          <w:tcPr>
            <w:tcW w:w="2296" w:type="pct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5" w:type="pct"/>
            <w:vAlign w:val="center"/>
          </w:tcPr>
          <w:p>
            <w:pPr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总</w:t>
            </w:r>
          </w:p>
          <w:p>
            <w:pPr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体</w:t>
            </w:r>
          </w:p>
          <w:p>
            <w:pPr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目</w:t>
            </w:r>
          </w:p>
          <w:p>
            <w:pPr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标</w:t>
            </w:r>
          </w:p>
        </w:tc>
        <w:tc>
          <w:tcPr>
            <w:tcW w:w="4685" w:type="pct"/>
            <w:gridSpan w:val="7"/>
            <w:vAlign w:val="center"/>
          </w:tcPr>
          <w:p>
            <w:pPr>
              <w:widowControl/>
              <w:spacing w:line="360" w:lineRule="exact"/>
              <w:jc w:val="left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目标1：</w:t>
            </w:r>
          </w:p>
          <w:p>
            <w:pPr>
              <w:widowControl/>
              <w:spacing w:line="360" w:lineRule="exact"/>
              <w:jc w:val="left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目标2：</w:t>
            </w:r>
          </w:p>
          <w:p>
            <w:pPr>
              <w:widowControl/>
              <w:spacing w:line="360" w:lineRule="exact"/>
              <w:jc w:val="left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目标3：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315" w:type="pct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 w:val="18"/>
                <w:szCs w:val="18"/>
              </w:rPr>
              <w:t>绩效指标</w:t>
            </w:r>
          </w:p>
        </w:tc>
        <w:tc>
          <w:tcPr>
            <w:tcW w:w="794" w:type="pct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334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979" w:type="pct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1578" w:type="pct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 w:val="18"/>
                <w:szCs w:val="18"/>
              </w:rPr>
              <w:t>指标值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5" w:type="pct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794" w:type="pct"/>
            <w:gridSpan w:val="2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1334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bCs/>
                <w:kern w:val="0"/>
                <w:sz w:val="18"/>
                <w:szCs w:val="18"/>
              </w:rPr>
            </w:pPr>
          </w:p>
        </w:tc>
        <w:tc>
          <w:tcPr>
            <w:tcW w:w="979" w:type="pct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578" w:type="pct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5" w:type="pct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794" w:type="pct"/>
            <w:gridSpan w:val="2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334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79" w:type="pct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578" w:type="pct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5" w:type="pct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794" w:type="pct"/>
            <w:gridSpan w:val="2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334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79" w:type="pct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578" w:type="pct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5" w:type="pct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794" w:type="pct"/>
            <w:gridSpan w:val="2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产出指标</w:t>
            </w:r>
          </w:p>
        </w:tc>
        <w:tc>
          <w:tcPr>
            <w:tcW w:w="1334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79" w:type="pct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578" w:type="pct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5" w:type="pct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794" w:type="pct"/>
            <w:gridSpan w:val="2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334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79" w:type="pct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578" w:type="pct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5" w:type="pct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794" w:type="pct"/>
            <w:gridSpan w:val="2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334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79" w:type="pct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578" w:type="pct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5" w:type="pct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794" w:type="pct"/>
            <w:gridSpan w:val="2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效益指标</w:t>
            </w:r>
          </w:p>
        </w:tc>
        <w:tc>
          <w:tcPr>
            <w:tcW w:w="1334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79" w:type="pct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578" w:type="pct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5" w:type="pct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794" w:type="pct"/>
            <w:gridSpan w:val="2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334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b/>
                <w:kern w:val="0"/>
                <w:sz w:val="18"/>
                <w:szCs w:val="18"/>
              </w:rPr>
            </w:pPr>
          </w:p>
        </w:tc>
        <w:tc>
          <w:tcPr>
            <w:tcW w:w="979" w:type="pct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578" w:type="pct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5" w:type="pct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794" w:type="pct"/>
            <w:gridSpan w:val="2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334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79" w:type="pct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578" w:type="pct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5" w:type="pct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794" w:type="pct"/>
            <w:gridSpan w:val="2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满意度指标</w:t>
            </w:r>
          </w:p>
        </w:tc>
        <w:tc>
          <w:tcPr>
            <w:tcW w:w="1334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79" w:type="pct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578" w:type="pct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5" w:type="pct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794" w:type="pct"/>
            <w:gridSpan w:val="2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334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79" w:type="pct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578" w:type="pct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5" w:type="pct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794" w:type="pct"/>
            <w:gridSpan w:val="2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334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79" w:type="pct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578" w:type="pct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</w:tr>
    </w:tbl>
    <w:p>
      <w:pPr>
        <w:tabs>
          <w:tab w:val="left" w:pos="1848"/>
        </w:tabs>
      </w:pP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imesNewRomanPSM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imesNewRomanPS-BoldM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CIDFont+F6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CIDFont+F4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27</w:t>
    </w:r>
    <w:r>
      <w:fldChar w:fldCharType="end"/>
    </w:r>
  </w:p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BB9A00E"/>
    <w:multiLevelType w:val="singleLevel"/>
    <w:tmpl w:val="8BB9A00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F53FA38B"/>
    <w:multiLevelType w:val="singleLevel"/>
    <w:tmpl w:val="F53FA38B"/>
    <w:lvl w:ilvl="0" w:tentative="0">
      <w:start w:val="15"/>
      <w:numFmt w:val="chineseCounting"/>
      <w:lvlText w:val="(%1)"/>
      <w:lvlJc w:val="left"/>
      <w:pPr>
        <w:tabs>
          <w:tab w:val="left" w:pos="312"/>
        </w:tabs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E1ZmUwNTk1NmZiMDg0MzQ5N2E5ZDE5ZTNhNTI0NDUifQ=="/>
  </w:docVars>
  <w:rsids>
    <w:rsidRoot w:val="00FB4362"/>
    <w:rsid w:val="00000C55"/>
    <w:rsid w:val="00001446"/>
    <w:rsid w:val="0001130C"/>
    <w:rsid w:val="00011F27"/>
    <w:rsid w:val="00012457"/>
    <w:rsid w:val="00021BBF"/>
    <w:rsid w:val="00030443"/>
    <w:rsid w:val="00030F4C"/>
    <w:rsid w:val="0003278A"/>
    <w:rsid w:val="000368FE"/>
    <w:rsid w:val="00042A06"/>
    <w:rsid w:val="00043601"/>
    <w:rsid w:val="000442B5"/>
    <w:rsid w:val="0004639D"/>
    <w:rsid w:val="000465E2"/>
    <w:rsid w:val="0005161F"/>
    <w:rsid w:val="000547D1"/>
    <w:rsid w:val="00055759"/>
    <w:rsid w:val="000612EE"/>
    <w:rsid w:val="00061BAF"/>
    <w:rsid w:val="0006337D"/>
    <w:rsid w:val="00074626"/>
    <w:rsid w:val="00076B62"/>
    <w:rsid w:val="00082093"/>
    <w:rsid w:val="000861D5"/>
    <w:rsid w:val="0009273A"/>
    <w:rsid w:val="000A20A7"/>
    <w:rsid w:val="000A655B"/>
    <w:rsid w:val="000B54DD"/>
    <w:rsid w:val="000C2055"/>
    <w:rsid w:val="000C2B7F"/>
    <w:rsid w:val="000C37BE"/>
    <w:rsid w:val="000C4C50"/>
    <w:rsid w:val="000D0130"/>
    <w:rsid w:val="000D2EEE"/>
    <w:rsid w:val="000D2F19"/>
    <w:rsid w:val="000E0CEA"/>
    <w:rsid w:val="000F3CBF"/>
    <w:rsid w:val="000F3F42"/>
    <w:rsid w:val="000F473D"/>
    <w:rsid w:val="001017F3"/>
    <w:rsid w:val="0011297B"/>
    <w:rsid w:val="00123768"/>
    <w:rsid w:val="00126B08"/>
    <w:rsid w:val="001272E5"/>
    <w:rsid w:val="00127D01"/>
    <w:rsid w:val="00130F5F"/>
    <w:rsid w:val="001374F5"/>
    <w:rsid w:val="00152FDC"/>
    <w:rsid w:val="001561FD"/>
    <w:rsid w:val="0015647B"/>
    <w:rsid w:val="00156619"/>
    <w:rsid w:val="00156C8B"/>
    <w:rsid w:val="00160A8C"/>
    <w:rsid w:val="001700B4"/>
    <w:rsid w:val="00171070"/>
    <w:rsid w:val="001A416A"/>
    <w:rsid w:val="001A6118"/>
    <w:rsid w:val="001B0364"/>
    <w:rsid w:val="001B0B8E"/>
    <w:rsid w:val="001B342F"/>
    <w:rsid w:val="001C1259"/>
    <w:rsid w:val="001D1DA7"/>
    <w:rsid w:val="001E17E4"/>
    <w:rsid w:val="001E2410"/>
    <w:rsid w:val="001E347C"/>
    <w:rsid w:val="001E6110"/>
    <w:rsid w:val="001F3C4D"/>
    <w:rsid w:val="002033EA"/>
    <w:rsid w:val="00214046"/>
    <w:rsid w:val="0022561F"/>
    <w:rsid w:val="00232DBE"/>
    <w:rsid w:val="002355E7"/>
    <w:rsid w:val="00235F73"/>
    <w:rsid w:val="0023681E"/>
    <w:rsid w:val="00241FEC"/>
    <w:rsid w:val="00243562"/>
    <w:rsid w:val="0025164A"/>
    <w:rsid w:val="00265C3D"/>
    <w:rsid w:val="00266C2E"/>
    <w:rsid w:val="00270DF8"/>
    <w:rsid w:val="002754B3"/>
    <w:rsid w:val="0028392B"/>
    <w:rsid w:val="002934F2"/>
    <w:rsid w:val="002A3A19"/>
    <w:rsid w:val="002A3ED4"/>
    <w:rsid w:val="002A7274"/>
    <w:rsid w:val="002B2833"/>
    <w:rsid w:val="002B7BA1"/>
    <w:rsid w:val="002C01BB"/>
    <w:rsid w:val="002C3FA4"/>
    <w:rsid w:val="002E2161"/>
    <w:rsid w:val="002E30F2"/>
    <w:rsid w:val="002E4E72"/>
    <w:rsid w:val="002F0CE0"/>
    <w:rsid w:val="002F4ED9"/>
    <w:rsid w:val="002F75FE"/>
    <w:rsid w:val="002F7FA5"/>
    <w:rsid w:val="003017F4"/>
    <w:rsid w:val="00301AAB"/>
    <w:rsid w:val="00306B68"/>
    <w:rsid w:val="003129FE"/>
    <w:rsid w:val="003322AC"/>
    <w:rsid w:val="00335342"/>
    <w:rsid w:val="00343A8E"/>
    <w:rsid w:val="00345713"/>
    <w:rsid w:val="003566B9"/>
    <w:rsid w:val="00356C98"/>
    <w:rsid w:val="0036367B"/>
    <w:rsid w:val="0036496C"/>
    <w:rsid w:val="00365414"/>
    <w:rsid w:val="00372734"/>
    <w:rsid w:val="00372A33"/>
    <w:rsid w:val="0037374A"/>
    <w:rsid w:val="00377A88"/>
    <w:rsid w:val="00392E2B"/>
    <w:rsid w:val="003A396F"/>
    <w:rsid w:val="003A68FD"/>
    <w:rsid w:val="003A7A18"/>
    <w:rsid w:val="003B3187"/>
    <w:rsid w:val="003B327A"/>
    <w:rsid w:val="003B4612"/>
    <w:rsid w:val="003B76D2"/>
    <w:rsid w:val="003D6D41"/>
    <w:rsid w:val="003E3B0A"/>
    <w:rsid w:val="0040581D"/>
    <w:rsid w:val="00417BF3"/>
    <w:rsid w:val="00425D21"/>
    <w:rsid w:val="00426463"/>
    <w:rsid w:val="00427875"/>
    <w:rsid w:val="004317A0"/>
    <w:rsid w:val="0043556D"/>
    <w:rsid w:val="0043739B"/>
    <w:rsid w:val="00441579"/>
    <w:rsid w:val="004418B5"/>
    <w:rsid w:val="00445789"/>
    <w:rsid w:val="00463FB8"/>
    <w:rsid w:val="00480A2F"/>
    <w:rsid w:val="00480B47"/>
    <w:rsid w:val="00481F19"/>
    <w:rsid w:val="00487BC0"/>
    <w:rsid w:val="00490FF8"/>
    <w:rsid w:val="004A1851"/>
    <w:rsid w:val="004B337A"/>
    <w:rsid w:val="004B5538"/>
    <w:rsid w:val="004C3127"/>
    <w:rsid w:val="004D27C3"/>
    <w:rsid w:val="004D44D2"/>
    <w:rsid w:val="004D491E"/>
    <w:rsid w:val="004E3E51"/>
    <w:rsid w:val="004E625A"/>
    <w:rsid w:val="004F73BD"/>
    <w:rsid w:val="00502474"/>
    <w:rsid w:val="00515110"/>
    <w:rsid w:val="00523062"/>
    <w:rsid w:val="00532434"/>
    <w:rsid w:val="00537019"/>
    <w:rsid w:val="0054271B"/>
    <w:rsid w:val="00545281"/>
    <w:rsid w:val="00551A39"/>
    <w:rsid w:val="00566585"/>
    <w:rsid w:val="00580A2F"/>
    <w:rsid w:val="005A2CB7"/>
    <w:rsid w:val="005B15C7"/>
    <w:rsid w:val="005B51EA"/>
    <w:rsid w:val="005C6B92"/>
    <w:rsid w:val="005F4CC9"/>
    <w:rsid w:val="0060056E"/>
    <w:rsid w:val="006039C9"/>
    <w:rsid w:val="00605602"/>
    <w:rsid w:val="00605D22"/>
    <w:rsid w:val="00620A03"/>
    <w:rsid w:val="00621126"/>
    <w:rsid w:val="0062145A"/>
    <w:rsid w:val="00633C60"/>
    <w:rsid w:val="00645C9F"/>
    <w:rsid w:val="00650775"/>
    <w:rsid w:val="0065388D"/>
    <w:rsid w:val="00655506"/>
    <w:rsid w:val="00674396"/>
    <w:rsid w:val="006849AD"/>
    <w:rsid w:val="006853A7"/>
    <w:rsid w:val="0069507F"/>
    <w:rsid w:val="006955DD"/>
    <w:rsid w:val="00697A98"/>
    <w:rsid w:val="006A0492"/>
    <w:rsid w:val="006A3DED"/>
    <w:rsid w:val="006A6E23"/>
    <w:rsid w:val="006B05FF"/>
    <w:rsid w:val="006C4D2E"/>
    <w:rsid w:val="006D3D60"/>
    <w:rsid w:val="006E1F9C"/>
    <w:rsid w:val="006E4A2C"/>
    <w:rsid w:val="006E721A"/>
    <w:rsid w:val="006F0E11"/>
    <w:rsid w:val="006F40C8"/>
    <w:rsid w:val="00700872"/>
    <w:rsid w:val="00706BB4"/>
    <w:rsid w:val="00714029"/>
    <w:rsid w:val="007203B6"/>
    <w:rsid w:val="007222C1"/>
    <w:rsid w:val="00725205"/>
    <w:rsid w:val="0074091B"/>
    <w:rsid w:val="00740927"/>
    <w:rsid w:val="00744302"/>
    <w:rsid w:val="00747C60"/>
    <w:rsid w:val="007732EA"/>
    <w:rsid w:val="00777EA3"/>
    <w:rsid w:val="007933F9"/>
    <w:rsid w:val="00793C7B"/>
    <w:rsid w:val="007954B6"/>
    <w:rsid w:val="007A5E22"/>
    <w:rsid w:val="007B3768"/>
    <w:rsid w:val="007B5395"/>
    <w:rsid w:val="007C38FB"/>
    <w:rsid w:val="007C6434"/>
    <w:rsid w:val="007D4E4C"/>
    <w:rsid w:val="007D5F13"/>
    <w:rsid w:val="007D69F8"/>
    <w:rsid w:val="007E4819"/>
    <w:rsid w:val="007E4E03"/>
    <w:rsid w:val="007E7289"/>
    <w:rsid w:val="00805F3F"/>
    <w:rsid w:val="00817A5D"/>
    <w:rsid w:val="00821209"/>
    <w:rsid w:val="00821491"/>
    <w:rsid w:val="00831411"/>
    <w:rsid w:val="00842536"/>
    <w:rsid w:val="00843692"/>
    <w:rsid w:val="0085135B"/>
    <w:rsid w:val="0085287C"/>
    <w:rsid w:val="008559B6"/>
    <w:rsid w:val="008559FD"/>
    <w:rsid w:val="00855E65"/>
    <w:rsid w:val="0085612E"/>
    <w:rsid w:val="00880868"/>
    <w:rsid w:val="00880D30"/>
    <w:rsid w:val="008811AD"/>
    <w:rsid w:val="008812FA"/>
    <w:rsid w:val="008B222B"/>
    <w:rsid w:val="008C138F"/>
    <w:rsid w:val="008C204C"/>
    <w:rsid w:val="008C2625"/>
    <w:rsid w:val="008C4FE2"/>
    <w:rsid w:val="008D4D6A"/>
    <w:rsid w:val="008F7014"/>
    <w:rsid w:val="009049E9"/>
    <w:rsid w:val="00907F9B"/>
    <w:rsid w:val="00911503"/>
    <w:rsid w:val="00917C2D"/>
    <w:rsid w:val="009209B6"/>
    <w:rsid w:val="00923CB4"/>
    <w:rsid w:val="009335E0"/>
    <w:rsid w:val="00941732"/>
    <w:rsid w:val="009510F3"/>
    <w:rsid w:val="00954018"/>
    <w:rsid w:val="00955590"/>
    <w:rsid w:val="00970435"/>
    <w:rsid w:val="009704EC"/>
    <w:rsid w:val="00971619"/>
    <w:rsid w:val="00982EAB"/>
    <w:rsid w:val="0098505E"/>
    <w:rsid w:val="00991480"/>
    <w:rsid w:val="009945A7"/>
    <w:rsid w:val="00995E63"/>
    <w:rsid w:val="0099643D"/>
    <w:rsid w:val="009969DC"/>
    <w:rsid w:val="00996BA5"/>
    <w:rsid w:val="009A0F79"/>
    <w:rsid w:val="009A3C75"/>
    <w:rsid w:val="009B03F2"/>
    <w:rsid w:val="009C4EE2"/>
    <w:rsid w:val="009D46B1"/>
    <w:rsid w:val="009E7F6E"/>
    <w:rsid w:val="009F2B6A"/>
    <w:rsid w:val="009F5541"/>
    <w:rsid w:val="00A01204"/>
    <w:rsid w:val="00A022BA"/>
    <w:rsid w:val="00A256AC"/>
    <w:rsid w:val="00A32BE3"/>
    <w:rsid w:val="00A4207A"/>
    <w:rsid w:val="00A5653E"/>
    <w:rsid w:val="00A63533"/>
    <w:rsid w:val="00A723C4"/>
    <w:rsid w:val="00A72D2B"/>
    <w:rsid w:val="00A820E9"/>
    <w:rsid w:val="00A82942"/>
    <w:rsid w:val="00A83E24"/>
    <w:rsid w:val="00AA20F8"/>
    <w:rsid w:val="00AA327B"/>
    <w:rsid w:val="00AA55AF"/>
    <w:rsid w:val="00AB19A5"/>
    <w:rsid w:val="00AC2FD6"/>
    <w:rsid w:val="00AC78FC"/>
    <w:rsid w:val="00AD4CFE"/>
    <w:rsid w:val="00AE79BA"/>
    <w:rsid w:val="00AF350E"/>
    <w:rsid w:val="00AF3D8F"/>
    <w:rsid w:val="00AF5273"/>
    <w:rsid w:val="00AF5D3D"/>
    <w:rsid w:val="00B0671C"/>
    <w:rsid w:val="00B13495"/>
    <w:rsid w:val="00B262DD"/>
    <w:rsid w:val="00B278DE"/>
    <w:rsid w:val="00B30287"/>
    <w:rsid w:val="00B30EBD"/>
    <w:rsid w:val="00B351C3"/>
    <w:rsid w:val="00B36AC9"/>
    <w:rsid w:val="00B36E7A"/>
    <w:rsid w:val="00B542CD"/>
    <w:rsid w:val="00B6465B"/>
    <w:rsid w:val="00B772D7"/>
    <w:rsid w:val="00B85451"/>
    <w:rsid w:val="00B86006"/>
    <w:rsid w:val="00B86D86"/>
    <w:rsid w:val="00BA2A96"/>
    <w:rsid w:val="00BA5FE5"/>
    <w:rsid w:val="00BC1FD9"/>
    <w:rsid w:val="00BC30FF"/>
    <w:rsid w:val="00BC500D"/>
    <w:rsid w:val="00BD7FD7"/>
    <w:rsid w:val="00BF1606"/>
    <w:rsid w:val="00BF1647"/>
    <w:rsid w:val="00BF5A25"/>
    <w:rsid w:val="00C06428"/>
    <w:rsid w:val="00C11347"/>
    <w:rsid w:val="00C35018"/>
    <w:rsid w:val="00C40A34"/>
    <w:rsid w:val="00C4484E"/>
    <w:rsid w:val="00C46F7C"/>
    <w:rsid w:val="00C519B5"/>
    <w:rsid w:val="00C55EDB"/>
    <w:rsid w:val="00C573E9"/>
    <w:rsid w:val="00C729DA"/>
    <w:rsid w:val="00C764B7"/>
    <w:rsid w:val="00C90B56"/>
    <w:rsid w:val="00CA3F25"/>
    <w:rsid w:val="00CB5B9D"/>
    <w:rsid w:val="00CB6428"/>
    <w:rsid w:val="00CC01A5"/>
    <w:rsid w:val="00CC2134"/>
    <w:rsid w:val="00CD255A"/>
    <w:rsid w:val="00D126EC"/>
    <w:rsid w:val="00D14955"/>
    <w:rsid w:val="00D24CD6"/>
    <w:rsid w:val="00D24FA6"/>
    <w:rsid w:val="00D544D2"/>
    <w:rsid w:val="00D660F8"/>
    <w:rsid w:val="00D744C5"/>
    <w:rsid w:val="00D827AF"/>
    <w:rsid w:val="00D8451F"/>
    <w:rsid w:val="00D8474D"/>
    <w:rsid w:val="00D84D5B"/>
    <w:rsid w:val="00D86771"/>
    <w:rsid w:val="00D90C73"/>
    <w:rsid w:val="00D90F17"/>
    <w:rsid w:val="00D9480E"/>
    <w:rsid w:val="00D94FFD"/>
    <w:rsid w:val="00DA7038"/>
    <w:rsid w:val="00DB4AF2"/>
    <w:rsid w:val="00DB572A"/>
    <w:rsid w:val="00DC14B3"/>
    <w:rsid w:val="00DC399C"/>
    <w:rsid w:val="00DC7D6D"/>
    <w:rsid w:val="00DD2999"/>
    <w:rsid w:val="00DD2B43"/>
    <w:rsid w:val="00DD2CF8"/>
    <w:rsid w:val="00DD5C58"/>
    <w:rsid w:val="00DE240B"/>
    <w:rsid w:val="00DE529C"/>
    <w:rsid w:val="00DE6D9E"/>
    <w:rsid w:val="00DF3482"/>
    <w:rsid w:val="00DF450F"/>
    <w:rsid w:val="00E04A58"/>
    <w:rsid w:val="00E07425"/>
    <w:rsid w:val="00E07A05"/>
    <w:rsid w:val="00E16025"/>
    <w:rsid w:val="00E167FD"/>
    <w:rsid w:val="00E16F50"/>
    <w:rsid w:val="00E24179"/>
    <w:rsid w:val="00E31783"/>
    <w:rsid w:val="00E36636"/>
    <w:rsid w:val="00E43A34"/>
    <w:rsid w:val="00E44D37"/>
    <w:rsid w:val="00E52850"/>
    <w:rsid w:val="00E609A5"/>
    <w:rsid w:val="00E61928"/>
    <w:rsid w:val="00E656D2"/>
    <w:rsid w:val="00E7276C"/>
    <w:rsid w:val="00E84382"/>
    <w:rsid w:val="00E9180B"/>
    <w:rsid w:val="00EA0646"/>
    <w:rsid w:val="00EA2BA4"/>
    <w:rsid w:val="00EA3103"/>
    <w:rsid w:val="00EB15C1"/>
    <w:rsid w:val="00EC325A"/>
    <w:rsid w:val="00EC3A8E"/>
    <w:rsid w:val="00EC57F0"/>
    <w:rsid w:val="00ED68AF"/>
    <w:rsid w:val="00EF2E7C"/>
    <w:rsid w:val="00F01A6E"/>
    <w:rsid w:val="00F11811"/>
    <w:rsid w:val="00F20178"/>
    <w:rsid w:val="00F23C6C"/>
    <w:rsid w:val="00F24BC8"/>
    <w:rsid w:val="00F25045"/>
    <w:rsid w:val="00F30F3E"/>
    <w:rsid w:val="00F32002"/>
    <w:rsid w:val="00F4605D"/>
    <w:rsid w:val="00F51EF5"/>
    <w:rsid w:val="00F74928"/>
    <w:rsid w:val="00F8197E"/>
    <w:rsid w:val="00F833B1"/>
    <w:rsid w:val="00F87D90"/>
    <w:rsid w:val="00F90495"/>
    <w:rsid w:val="00FA4179"/>
    <w:rsid w:val="00FB4362"/>
    <w:rsid w:val="00FB53A1"/>
    <w:rsid w:val="00FD30CF"/>
    <w:rsid w:val="00FE0E46"/>
    <w:rsid w:val="00FF0AEC"/>
    <w:rsid w:val="00FF1DF4"/>
    <w:rsid w:val="00FF4165"/>
    <w:rsid w:val="01826A17"/>
    <w:rsid w:val="06155CFB"/>
    <w:rsid w:val="083B0DA3"/>
    <w:rsid w:val="09415580"/>
    <w:rsid w:val="09616F12"/>
    <w:rsid w:val="0A56459C"/>
    <w:rsid w:val="0D965BFF"/>
    <w:rsid w:val="0EE4486D"/>
    <w:rsid w:val="0EE83C31"/>
    <w:rsid w:val="10F863AD"/>
    <w:rsid w:val="113741D2"/>
    <w:rsid w:val="13070B2A"/>
    <w:rsid w:val="15802E15"/>
    <w:rsid w:val="1CA7512B"/>
    <w:rsid w:val="1D34261E"/>
    <w:rsid w:val="1F4629DA"/>
    <w:rsid w:val="20DB35F6"/>
    <w:rsid w:val="24280900"/>
    <w:rsid w:val="257A518B"/>
    <w:rsid w:val="25D53E1D"/>
    <w:rsid w:val="27CE17BE"/>
    <w:rsid w:val="2919115F"/>
    <w:rsid w:val="298A3E0B"/>
    <w:rsid w:val="29E928DF"/>
    <w:rsid w:val="2A21651D"/>
    <w:rsid w:val="2EEE2746"/>
    <w:rsid w:val="2F4D6B27"/>
    <w:rsid w:val="31077AEF"/>
    <w:rsid w:val="31CF549D"/>
    <w:rsid w:val="32A51A73"/>
    <w:rsid w:val="351D3D85"/>
    <w:rsid w:val="37A20571"/>
    <w:rsid w:val="37CD1A92"/>
    <w:rsid w:val="382B0567"/>
    <w:rsid w:val="38DB3D3B"/>
    <w:rsid w:val="3C237ED3"/>
    <w:rsid w:val="3C7F70D3"/>
    <w:rsid w:val="40FE772B"/>
    <w:rsid w:val="42D67C64"/>
    <w:rsid w:val="447A6AFE"/>
    <w:rsid w:val="448D331B"/>
    <w:rsid w:val="454F3BC4"/>
    <w:rsid w:val="46D06EA9"/>
    <w:rsid w:val="4B8F4FEB"/>
    <w:rsid w:val="4BBF129A"/>
    <w:rsid w:val="4C55424E"/>
    <w:rsid w:val="4C806C7C"/>
    <w:rsid w:val="4DB82445"/>
    <w:rsid w:val="4F31425D"/>
    <w:rsid w:val="523F47A7"/>
    <w:rsid w:val="527E074E"/>
    <w:rsid w:val="528C6ADD"/>
    <w:rsid w:val="53760FB4"/>
    <w:rsid w:val="56BC2FA6"/>
    <w:rsid w:val="579503FF"/>
    <w:rsid w:val="59ED3476"/>
    <w:rsid w:val="5ECC5D50"/>
    <w:rsid w:val="60535296"/>
    <w:rsid w:val="607F732C"/>
    <w:rsid w:val="636522D0"/>
    <w:rsid w:val="666B5E4F"/>
    <w:rsid w:val="6833401F"/>
    <w:rsid w:val="69344C1E"/>
    <w:rsid w:val="6B657311"/>
    <w:rsid w:val="72FD2525"/>
    <w:rsid w:val="7394437D"/>
    <w:rsid w:val="73A0182E"/>
    <w:rsid w:val="75575F1C"/>
    <w:rsid w:val="77BE3BA4"/>
    <w:rsid w:val="7A8F7F06"/>
    <w:rsid w:val="7B5B428C"/>
    <w:rsid w:val="7C06069C"/>
    <w:rsid w:val="7C183F2B"/>
    <w:rsid w:val="7C460A98"/>
    <w:rsid w:val="7D584F27"/>
    <w:rsid w:val="7DE51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qFormat="1" w:unhideWhenUsed="0" w:uiPriority="0" w:semiHidden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6"/>
    <w:autoRedefine/>
    <w:qFormat/>
    <w:uiPriority w:val="0"/>
    <w:pPr>
      <w:keepNext/>
      <w:keepLines/>
      <w:spacing w:before="340" w:after="330" w:line="578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character" w:default="1" w:styleId="9">
    <w:name w:val="Default Paragraph Font"/>
    <w:autoRedefine/>
    <w:semiHidden/>
    <w:unhideWhenUsed/>
    <w:qFormat/>
    <w:uiPriority w:val="1"/>
  </w:style>
  <w:style w:type="table" w:default="1" w:styleId="8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8"/>
    <w:autoRedefine/>
    <w:qFormat/>
    <w:uiPriority w:val="0"/>
    <w:pPr>
      <w:jc w:val="left"/>
    </w:pPr>
  </w:style>
  <w:style w:type="paragraph" w:styleId="4">
    <w:name w:val="Balloon Text"/>
    <w:basedOn w:val="1"/>
    <w:link w:val="15"/>
    <w:autoRedefine/>
    <w:qFormat/>
    <w:uiPriority w:val="0"/>
    <w:rPr>
      <w:sz w:val="18"/>
      <w:szCs w:val="18"/>
    </w:rPr>
  </w:style>
  <w:style w:type="paragraph" w:styleId="5">
    <w:name w:val="footer"/>
    <w:basedOn w:val="1"/>
    <w:link w:val="12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annotation subject"/>
    <w:basedOn w:val="3"/>
    <w:next w:val="3"/>
    <w:link w:val="19"/>
    <w:autoRedefine/>
    <w:qFormat/>
    <w:uiPriority w:val="0"/>
    <w:rPr>
      <w:b/>
      <w:bCs/>
    </w:rPr>
  </w:style>
  <w:style w:type="character" w:styleId="10">
    <w:name w:val="line number"/>
    <w:autoRedefine/>
    <w:qFormat/>
    <w:uiPriority w:val="0"/>
  </w:style>
  <w:style w:type="character" w:styleId="11">
    <w:name w:val="annotation reference"/>
    <w:autoRedefine/>
    <w:qFormat/>
    <w:uiPriority w:val="0"/>
    <w:rPr>
      <w:sz w:val="21"/>
      <w:szCs w:val="21"/>
    </w:rPr>
  </w:style>
  <w:style w:type="character" w:customStyle="1" w:styleId="12">
    <w:name w:val="页脚 Char"/>
    <w:link w:val="5"/>
    <w:autoRedefine/>
    <w:qFormat/>
    <w:uiPriority w:val="0"/>
    <w:rPr>
      <w:sz w:val="18"/>
      <w:szCs w:val="18"/>
    </w:rPr>
  </w:style>
  <w:style w:type="character" w:customStyle="1" w:styleId="13">
    <w:name w:val="页眉 Char"/>
    <w:link w:val="6"/>
    <w:autoRedefine/>
    <w:qFormat/>
    <w:uiPriority w:val="0"/>
    <w:rPr>
      <w:sz w:val="18"/>
      <w:szCs w:val="18"/>
    </w:rPr>
  </w:style>
  <w:style w:type="paragraph" w:styleId="14">
    <w:name w:val="List Paragraph"/>
    <w:basedOn w:val="1"/>
    <w:autoRedefine/>
    <w:qFormat/>
    <w:uiPriority w:val="0"/>
    <w:pPr>
      <w:ind w:firstLine="420" w:firstLineChars="200"/>
    </w:pPr>
  </w:style>
  <w:style w:type="character" w:customStyle="1" w:styleId="15">
    <w:name w:val="批注框文本 Char"/>
    <w:link w:val="4"/>
    <w:autoRedefine/>
    <w:qFormat/>
    <w:uiPriority w:val="0"/>
    <w:rPr>
      <w:kern w:val="2"/>
      <w:sz w:val="18"/>
      <w:szCs w:val="18"/>
    </w:rPr>
  </w:style>
  <w:style w:type="character" w:customStyle="1" w:styleId="16">
    <w:name w:val="标题 1 Char"/>
    <w:link w:val="2"/>
    <w:autoRedefine/>
    <w:qFormat/>
    <w:uiPriority w:val="0"/>
    <w:rPr>
      <w:rFonts w:ascii="Times New Roman" w:hAnsi="Times New Roman"/>
      <w:b/>
      <w:bCs/>
      <w:kern w:val="44"/>
      <w:sz w:val="44"/>
      <w:szCs w:val="44"/>
    </w:rPr>
  </w:style>
  <w:style w:type="paragraph" w:customStyle="1" w:styleId="17">
    <w:name w:val="TOC Heading"/>
    <w:basedOn w:val="2"/>
    <w:next w:val="1"/>
    <w:autoRedefine/>
    <w:qFormat/>
    <w:uiPriority w:val="0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customStyle="1" w:styleId="18">
    <w:name w:val="批注文字 Char"/>
    <w:link w:val="3"/>
    <w:autoRedefine/>
    <w:qFormat/>
    <w:uiPriority w:val="0"/>
    <w:rPr>
      <w:kern w:val="2"/>
      <w:sz w:val="21"/>
      <w:szCs w:val="22"/>
    </w:rPr>
  </w:style>
  <w:style w:type="character" w:customStyle="1" w:styleId="19">
    <w:name w:val="批注主题 Char"/>
    <w:link w:val="7"/>
    <w:autoRedefine/>
    <w:qFormat/>
    <w:uiPriority w:val="0"/>
    <w:rPr>
      <w:b/>
      <w:bCs/>
      <w:kern w:val="2"/>
      <w:sz w:val="21"/>
      <w:szCs w:val="22"/>
    </w:rPr>
  </w:style>
  <w:style w:type="character" w:customStyle="1" w:styleId="20">
    <w:name w:val="fontstyle01"/>
    <w:autoRedefine/>
    <w:qFormat/>
    <w:uiPriority w:val="0"/>
    <w:rPr>
      <w:rFonts w:hint="eastAsia" w:ascii="仿宋_GB2312" w:eastAsia="仿宋_GB2312"/>
      <w:color w:val="000000"/>
      <w:sz w:val="32"/>
      <w:szCs w:val="32"/>
    </w:rPr>
  </w:style>
  <w:style w:type="character" w:customStyle="1" w:styleId="21">
    <w:name w:val="fontstyle21"/>
    <w:autoRedefine/>
    <w:qFormat/>
    <w:uiPriority w:val="0"/>
    <w:rPr>
      <w:rFonts w:hint="default" w:ascii="TimesNewRomanPSMT" w:hAnsi="TimesNewRomanPSMT"/>
      <w:color w:val="000000"/>
      <w:sz w:val="32"/>
      <w:szCs w:val="32"/>
    </w:rPr>
  </w:style>
  <w:style w:type="character" w:customStyle="1" w:styleId="22">
    <w:name w:val="fontstyle11"/>
    <w:autoRedefine/>
    <w:uiPriority w:val="0"/>
    <w:rPr>
      <w:rFonts w:hint="eastAsia" w:ascii="仿宋_GB2312" w:eastAsia="仿宋_GB2312"/>
      <w:color w:val="000000"/>
      <w:sz w:val="32"/>
      <w:szCs w:val="32"/>
    </w:rPr>
  </w:style>
  <w:style w:type="character" w:customStyle="1" w:styleId="23">
    <w:name w:val="fontstyle31"/>
    <w:autoRedefine/>
    <w:qFormat/>
    <w:uiPriority w:val="0"/>
    <w:rPr>
      <w:rFonts w:hint="default" w:ascii="TimesNewRomanPSMT" w:hAnsi="TimesNewRomanPSMT"/>
      <w:color w:val="00000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beijing</Company>
  <Pages>30</Pages>
  <Words>1440</Words>
  <Characters>8209</Characters>
  <Lines>68</Lines>
  <Paragraphs>19</Paragraphs>
  <TotalTime>89</TotalTime>
  <ScaleCrop>false</ScaleCrop>
  <LinksUpToDate>false</LinksUpToDate>
  <CharactersWithSpaces>9630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2024-01-30T09:03:00Z</dcterms:created>
  <dc:creator>home</dc:creator>
  <cp:lastModifiedBy>Administrator</cp:lastModifiedBy>
  <cp:lastPrinted>2024-02-18T02:23:00Z</cp:lastPrinted>
  <dcterms:modified xsi:type="dcterms:W3CDTF">2024-03-19T08:20:16Z</dcterms:modified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582FD299177A4C4AAE7B3E360D1B4C97_13</vt:lpwstr>
  </property>
</Properties>
</file>