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  <w:shd w:val="clear" w:color="auto" w:fill="FFFFFF"/>
        </w:rPr>
        <w:t>《积石山县寨子沟乡东坪寺村村庄规划（2022-2035年）</w:t>
      </w:r>
      <w:r>
        <w:rPr>
          <w:rFonts w:hint="eastAsia" w:ascii="微软雅黑" w:hAnsi="微软雅黑" w:eastAsia="微软雅黑"/>
          <w:b/>
          <w:bCs/>
          <w:sz w:val="36"/>
          <w:szCs w:val="36"/>
          <w:shd w:val="clear" w:color="auto" w:fill="FFFFFF"/>
        </w:rPr>
        <w:t>》</w:t>
      </w:r>
      <w:bookmarkStart w:id="3" w:name="_GoBack"/>
      <w:bookmarkEnd w:id="3"/>
      <w:r>
        <w:rPr>
          <w:rFonts w:hint="eastAsia" w:ascii="微软雅黑" w:hAnsi="微软雅黑" w:eastAsia="微软雅黑"/>
          <w:b/>
          <w:bCs/>
          <w:sz w:val="36"/>
          <w:szCs w:val="36"/>
          <w:shd w:val="clear" w:color="auto" w:fill="FFFFFF"/>
        </w:rPr>
        <w:t>成果公开</w:t>
      </w:r>
    </w:p>
    <w:p>
      <w:pPr>
        <w:pStyle w:val="9"/>
        <w:shd w:val="clear" w:color="auto" w:fill="FFFFFF"/>
        <w:spacing w:line="480" w:lineRule="atLeast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为推动乡村振兴，</w:t>
      </w:r>
      <w:r>
        <w:rPr>
          <w:rFonts w:hint="eastAsia" w:ascii="仿宋" w:hAnsi="仿宋"/>
          <w:color w:val="000000" w:themeColor="text1"/>
          <w:szCs w:val="28"/>
          <w14:textFill>
            <w14:solidFill>
              <w14:schemeClr w14:val="tx1"/>
            </w14:solidFill>
          </w14:textFill>
        </w:rPr>
        <w:t>统筹村庄产业发展、空间布局、人居环境提升、国土综合整治与生态修复等各项事业，提升产业发展层次，优化国土空间布局，提升人居环境，促进村民增产增收，实现东坪寺村高质量发展、高品质生活和高水平治理</w:t>
      </w:r>
      <w:r>
        <w:rPr>
          <w:rFonts w:hint="eastAsia"/>
          <w:color w:val="333333"/>
          <w:shd w:val="clear" w:color="auto" w:fill="FFFFFF"/>
        </w:rPr>
        <w:t>，根据《中共中央国务院关于建立国土空间规划体系并监督实施的若干意见》、《关于加强村庄规划促进乡村振兴的通知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[2019]35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》、《关于进一步做好村庄规划工作的意见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[2020]57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》等政策文件，积石山县自然资源局会同寨子沟乡人民政府组织编制了《积石山县寨子沟乡东坪寺村村庄规划（</w:t>
      </w:r>
      <w:r>
        <w:rPr>
          <w:color w:val="333333"/>
          <w:shd w:val="clear" w:color="auto" w:fill="FFFFFF"/>
        </w:rPr>
        <w:t>2022-2035年）</w:t>
      </w:r>
      <w:r>
        <w:rPr>
          <w:rFonts w:hint="eastAsia"/>
          <w:color w:val="333333"/>
          <w:shd w:val="clear" w:color="auto" w:fill="FFFFFF"/>
        </w:rPr>
        <w:t>》，用以指导本村开展</w:t>
      </w:r>
      <w:r>
        <w:rPr>
          <w:color w:val="333333"/>
          <w:shd w:val="clear" w:color="auto" w:fill="FFFFFF"/>
        </w:rPr>
        <w:t>国土空间开发保护活动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实施国土空间用途管制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核发乡村建设项目规划许可、进行各项建设</w:t>
      </w:r>
      <w:r>
        <w:rPr>
          <w:rFonts w:hint="eastAsia"/>
          <w:color w:val="333333"/>
          <w:shd w:val="clear" w:color="auto" w:fill="FFFFFF"/>
        </w:rPr>
        <w:t>等工作。经广泛征求意见，本规划于2022年</w:t>
      </w:r>
      <w:r>
        <w:rPr>
          <w:color w:val="333333"/>
          <w:shd w:val="clear" w:color="auto" w:fill="FFFFFF"/>
        </w:rPr>
        <w:t>10</w:t>
      </w:r>
      <w:r>
        <w:rPr>
          <w:rFonts w:hint="eastAsia"/>
          <w:color w:val="333333"/>
          <w:shd w:val="clear" w:color="auto" w:fill="FFFFFF"/>
        </w:rPr>
        <w:t>月</w:t>
      </w:r>
      <w:r>
        <w:rPr>
          <w:color w:val="333333"/>
          <w:shd w:val="clear" w:color="auto" w:fill="FFFFFF"/>
        </w:rPr>
        <w:t>17</w:t>
      </w:r>
      <w:r>
        <w:rPr>
          <w:rFonts w:hint="eastAsia"/>
          <w:color w:val="333333"/>
          <w:shd w:val="clear" w:color="auto" w:fill="FFFFFF"/>
        </w:rPr>
        <w:t>日通过积石山县人民政府审批，现将规划成果主要内容进行公开，详情如下：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jc w:val="center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drawing>
          <wp:inline distT="0" distB="0" distL="0" distR="0">
            <wp:extent cx="2812415" cy="3707765"/>
            <wp:effectExtent l="0" t="0" r="6985" b="6985"/>
            <wp:docPr id="6" name="图片 6" descr="C:\Users\admin\AppData\Local\Microsoft\Windows\INetCache\Content.Word\关于寨子沟乡麻沟村等11个村庄规划批复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AppData\Local\Microsoft\Windows\INetCache\Content.Word\关于寨子沟乡麻沟村等11个村庄规划批复_页面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t="14650" r="6463" b="4937"/>
                    <a:stretch>
                      <a:fillRect/>
                    </a:stretch>
                  </pic:blipFill>
                  <pic:spPr>
                    <a:xfrm>
                      <a:off x="0" y="0"/>
                      <a:ext cx="2812744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hd w:val="clear" w:color="auto" w:fill="FFFFFF"/>
        </w:rPr>
        <w:drawing>
          <wp:inline distT="0" distB="0" distL="0" distR="0">
            <wp:extent cx="2390775" cy="3509645"/>
            <wp:effectExtent l="0" t="0" r="0" b="0"/>
            <wp:docPr id="7" name="图片 7" descr="C:\Users\admin\AppData\Local\Microsoft\Windows\INetCache\Content.Word\关于寨子沟乡麻沟村等11个村庄规划批复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AppData\Local\Microsoft\Windows\INetCache\Content.Word\关于寨子沟乡麻沟村等11个村庄规划批复_页面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4675" r="5797"/>
                    <a:stretch>
                      <a:fillRect/>
                    </a:stretch>
                  </pic:blipFill>
                  <pic:spPr>
                    <a:xfrm>
                      <a:off x="0" y="0"/>
                      <a:ext cx="2392398" cy="35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jc w:val="center"/>
        <w:rPr>
          <w:color w:val="333333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sz w:val="30"/>
          <w:szCs w:val="30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hint="eastAsia" w:ascii="宋体" w:hAnsi="宋体" w:eastAsia="宋体"/>
          <w:b/>
          <w:bCs/>
          <w:sz w:val="30"/>
          <w:szCs w:val="30"/>
          <w:shd w:val="clear" w:color="auto" w:fill="FFFFFF"/>
        </w:rPr>
        <w:t>《积石山县寨子沟乡东坪寺村村庄规划（2022-2035 年）》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30"/>
          <w:szCs w:val="30"/>
          <w:shd w:val="clear" w:color="auto" w:fill="FFFFFF"/>
        </w:rPr>
      </w:pPr>
      <w:r>
        <w:rPr>
          <w:rFonts w:hint="eastAsia" w:ascii="宋体" w:hAnsi="宋体" w:eastAsia="宋体"/>
          <w:b/>
          <w:bCs/>
          <w:sz w:val="30"/>
          <w:szCs w:val="30"/>
          <w:shd w:val="clear" w:color="auto" w:fill="FFFFFF"/>
        </w:rPr>
        <w:t>主要内容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  <w:sz w:val="33"/>
          <w:szCs w:val="33"/>
        </w:rPr>
      </w:pPr>
      <w:r>
        <w:rPr>
          <w:rFonts w:hint="eastAsia"/>
          <w:b/>
          <w:bCs/>
          <w:color w:val="333333"/>
        </w:rPr>
        <w:t>一、项目名称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《积石山县寨子沟乡东坪寺村村庄规划（</w:t>
      </w:r>
      <w:r>
        <w:rPr>
          <w:color w:val="333333"/>
          <w:shd w:val="clear" w:color="auto" w:fill="FFFFFF"/>
        </w:rPr>
        <w:t>2022-2035 年）》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二、村庄类型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东坪寺村为集聚提升类村庄。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三、规划范围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z w:val="33"/>
          <w:szCs w:val="33"/>
        </w:rPr>
      </w:pPr>
      <w:r>
        <w:rPr>
          <w:rFonts w:hint="eastAsia"/>
          <w:color w:val="333333"/>
        </w:rPr>
        <w:t>本次规划范围为东坪寺</w:t>
      </w:r>
      <w:r>
        <w:rPr>
          <w:rFonts w:hint="eastAsia"/>
          <w:color w:val="333333"/>
          <w:shd w:val="clear" w:color="auto" w:fill="FFFFFF"/>
        </w:rPr>
        <w:t>村</w:t>
      </w:r>
      <w:r>
        <w:rPr>
          <w:rFonts w:hint="eastAsia"/>
          <w:color w:val="333333"/>
        </w:rPr>
        <w:t>村域范围，总面积</w:t>
      </w:r>
      <w:r>
        <w:rPr>
          <w:rFonts w:ascii="仿宋" w:hAnsi="仿宋"/>
          <w:color w:val="000000" w:themeColor="text1"/>
          <w:szCs w:val="28"/>
          <w14:textFill>
            <w14:solidFill>
              <w14:schemeClr w14:val="tx1"/>
            </w14:solidFill>
          </w14:textFill>
        </w:rPr>
        <w:t>445.34公顷</w:t>
      </w:r>
      <w:r>
        <w:rPr>
          <w:rFonts w:hint="eastAsia"/>
          <w:color w:val="333333"/>
        </w:rPr>
        <w:t>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四、规划期限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本村庄规划期限为2022年至2035年。其中，</w:t>
      </w:r>
      <w:r>
        <w:rPr>
          <w:rFonts w:hint="eastAsia" w:ascii="仿宋" w:hAnsi="仿宋"/>
          <w:color w:val="000000" w:themeColor="text1"/>
          <w:szCs w:val="28"/>
          <w14:textFill>
            <w14:solidFill>
              <w14:schemeClr w14:val="tx1"/>
            </w14:solidFill>
          </w14:textFill>
        </w:rPr>
        <w:t>基期年为2021年，</w:t>
      </w:r>
      <w:r>
        <w:rPr>
          <w:rFonts w:hint="eastAsia"/>
          <w:color w:val="333333"/>
        </w:rPr>
        <w:t>近期为2022-2025年，远期为2026-2035年。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五、村庄定位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生态环境优美、配套设施完善、产业兴旺发达的“特色种养为核心，休闲观光为补充，农旅融合下的生态宜居乡村振兴示范村”。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六、发展目标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2</w:t>
      </w:r>
      <w:r>
        <w:rPr>
          <w:color w:val="333333"/>
        </w:rPr>
        <w:t>02</w:t>
      </w:r>
      <w:r>
        <w:rPr>
          <w:rFonts w:hint="eastAsia"/>
          <w:color w:val="333333"/>
        </w:rPr>
        <w:t>2</w:t>
      </w:r>
      <w:r>
        <w:rPr>
          <w:color w:val="333333"/>
        </w:rPr>
        <w:t>-2</w:t>
      </w:r>
      <w:r>
        <w:rPr>
          <w:rFonts w:hint="eastAsia"/>
          <w:color w:val="333333"/>
        </w:rPr>
        <w:t>025</w:t>
      </w:r>
      <w:r>
        <w:rPr>
          <w:color w:val="333333"/>
        </w:rPr>
        <w:t>年全面推进</w:t>
      </w:r>
      <w:r>
        <w:rPr>
          <w:rFonts w:hint="eastAsia"/>
          <w:color w:val="333333"/>
        </w:rPr>
        <w:t>国土空间</w:t>
      </w:r>
      <w:r>
        <w:rPr>
          <w:color w:val="333333"/>
        </w:rPr>
        <w:t>整治</w:t>
      </w:r>
      <w:r>
        <w:rPr>
          <w:rFonts w:hint="eastAsia"/>
          <w:color w:val="333333"/>
        </w:rPr>
        <w:t>和人居环境提升改造，积极改善人居环境品质。创优提质传统种养殖业，调整产业结构，在原有种植的基础上，发展中药材种植产业，推广种植观赏与经济效益并存的作物，并大力发展养殖小区，形成规模效应。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2026-203</w:t>
      </w:r>
      <w:r>
        <w:rPr>
          <w:rFonts w:hint="eastAsia"/>
          <w:color w:val="333333"/>
        </w:rPr>
        <w:t>5</w:t>
      </w:r>
      <w:r>
        <w:rPr>
          <w:color w:val="333333"/>
        </w:rPr>
        <w:t>年</w:t>
      </w:r>
      <w:r>
        <w:rPr>
          <w:rFonts w:hint="eastAsia"/>
          <w:color w:val="333333"/>
        </w:rPr>
        <w:t>，</w:t>
      </w:r>
      <w:r>
        <w:rPr>
          <w:color w:val="333333"/>
        </w:rPr>
        <w:t>立足种养业，结合旅游大通道发展的优势，以五社旅游村为依托，调整产业结构，促进农旅融合，推动一二三产融合发展</w:t>
      </w:r>
      <w:r>
        <w:rPr>
          <w:rFonts w:hint="eastAsia"/>
          <w:color w:val="333333"/>
        </w:rPr>
        <w:t>，</w:t>
      </w:r>
      <w:r>
        <w:rPr>
          <w:color w:val="333333"/>
        </w:rPr>
        <w:t>建设多品种农产品种植</w:t>
      </w:r>
      <w:r>
        <w:rPr>
          <w:rFonts w:hint="eastAsia"/>
          <w:color w:val="333333"/>
        </w:rPr>
        <w:t>，</w:t>
      </w:r>
      <w:r>
        <w:rPr>
          <w:color w:val="333333"/>
        </w:rPr>
        <w:t>兼具休闲观光、农家乐体验的旅游乡村。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七、村庄发展规模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人口规模：</w:t>
      </w:r>
      <w:r>
        <w:rPr>
          <w:color w:val="333333"/>
        </w:rPr>
        <w:t>2035年东坪寺村乡村人口为1150人</w:t>
      </w:r>
      <w:r>
        <w:rPr>
          <w:rFonts w:hint="eastAsia"/>
          <w:color w:val="333333"/>
        </w:rPr>
        <w:t>，</w:t>
      </w:r>
      <w:r>
        <w:rPr>
          <w:color w:val="333333"/>
        </w:rPr>
        <w:t>常住人口为920人</w:t>
      </w:r>
      <w:r>
        <w:rPr>
          <w:rFonts w:hint="eastAsia"/>
          <w:color w:val="333333"/>
        </w:rPr>
        <w:t>；</w:t>
      </w:r>
      <w:r>
        <w:rPr>
          <w:color w:val="333333"/>
        </w:rPr>
        <w:t>乡村户数为255户。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用地规模：至2035年，村庄内建设用地</w:t>
      </w:r>
      <w:r>
        <w:rPr>
          <w:color w:val="333333"/>
        </w:rPr>
        <w:t>14.73</w:t>
      </w:r>
      <w:r>
        <w:rPr>
          <w:rFonts w:hint="eastAsia"/>
          <w:color w:val="333333"/>
        </w:rPr>
        <w:t>公顷。其中，</w:t>
      </w:r>
      <w:r>
        <w:rPr>
          <w:color w:val="333333"/>
        </w:rPr>
        <w:t>居住用地</w:t>
      </w:r>
      <w:r>
        <w:rPr>
          <w:rFonts w:hint="eastAsia"/>
          <w:color w:val="333333"/>
        </w:rPr>
        <w:t>面积为1</w:t>
      </w:r>
      <w:r>
        <w:rPr>
          <w:color w:val="333333"/>
        </w:rPr>
        <w:t>2.50</w:t>
      </w:r>
      <w:r>
        <w:rPr>
          <w:rFonts w:hint="eastAsia"/>
          <w:color w:val="333333"/>
        </w:rPr>
        <w:t>公顷，</w:t>
      </w:r>
      <w:r>
        <w:rPr>
          <w:color w:val="333333"/>
        </w:rPr>
        <w:t>公共管理与公共服务用地</w:t>
      </w:r>
      <w:r>
        <w:rPr>
          <w:rFonts w:hint="eastAsia"/>
          <w:color w:val="333333"/>
        </w:rPr>
        <w:t>面积为0</w:t>
      </w:r>
      <w:r>
        <w:rPr>
          <w:color w:val="333333"/>
        </w:rPr>
        <w:t>.54</w:t>
      </w:r>
      <w:r>
        <w:rPr>
          <w:rFonts w:hint="eastAsia"/>
          <w:color w:val="333333"/>
        </w:rPr>
        <w:t>公顷，</w:t>
      </w:r>
      <w:r>
        <w:rPr>
          <w:color w:val="333333"/>
        </w:rPr>
        <w:t>公用设施用地</w:t>
      </w:r>
      <w:r>
        <w:rPr>
          <w:rFonts w:hint="eastAsia"/>
          <w:color w:val="333333"/>
        </w:rPr>
        <w:t>面积为0</w:t>
      </w:r>
      <w:r>
        <w:rPr>
          <w:color w:val="333333"/>
        </w:rPr>
        <w:t>.06</w:t>
      </w:r>
      <w:r>
        <w:rPr>
          <w:rFonts w:hint="eastAsia"/>
          <w:color w:val="333333"/>
        </w:rPr>
        <w:t>公顷，</w:t>
      </w:r>
      <w:r>
        <w:rPr>
          <w:color w:val="333333"/>
        </w:rPr>
        <w:t>绿地与开敞空间用地</w:t>
      </w:r>
      <w:r>
        <w:rPr>
          <w:rFonts w:hint="eastAsia"/>
          <w:color w:val="333333"/>
        </w:rPr>
        <w:t>0</w:t>
      </w:r>
      <w:r>
        <w:rPr>
          <w:color w:val="333333"/>
        </w:rPr>
        <w:t>.92</w:t>
      </w:r>
      <w:r>
        <w:rPr>
          <w:rFonts w:hint="eastAsia"/>
          <w:color w:val="333333"/>
        </w:rPr>
        <w:t>公顷，</w:t>
      </w:r>
      <w:r>
        <w:rPr>
          <w:color w:val="333333"/>
        </w:rPr>
        <w:t>区域交通用地面积0.41公顷</w:t>
      </w:r>
      <w:r>
        <w:rPr>
          <w:rFonts w:hint="eastAsia"/>
          <w:color w:val="333333"/>
        </w:rPr>
        <w:t>，其他建设用地0</w:t>
      </w:r>
      <w:r>
        <w:rPr>
          <w:color w:val="333333"/>
        </w:rPr>
        <w:t>.30</w:t>
      </w:r>
      <w:r>
        <w:rPr>
          <w:rFonts w:hint="eastAsia"/>
          <w:color w:val="333333"/>
        </w:rPr>
        <w:t>公顷。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八、产业发展规划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规划形成“一心两</w:t>
      </w:r>
      <w:r>
        <w:rPr>
          <w:rFonts w:hint="eastAsia"/>
          <w:color w:val="333333"/>
        </w:rPr>
        <w:t>轴</w:t>
      </w:r>
      <w:r>
        <w:rPr>
          <w:color w:val="333333"/>
        </w:rPr>
        <w:t>三片区”的产业功能分区。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一心：村庄综合服务中心。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两</w:t>
      </w:r>
      <w:r>
        <w:rPr>
          <w:rFonts w:hint="eastAsia"/>
          <w:color w:val="333333"/>
        </w:rPr>
        <w:t>轴</w:t>
      </w:r>
      <w:r>
        <w:rPr>
          <w:color w:val="333333"/>
        </w:rPr>
        <w:t>：旅游通道沿河支线发展</w:t>
      </w:r>
      <w:r>
        <w:rPr>
          <w:rFonts w:hint="eastAsia"/>
          <w:color w:val="333333"/>
        </w:rPr>
        <w:t>轴、</w:t>
      </w:r>
      <w:r>
        <w:rPr>
          <w:color w:val="333333"/>
        </w:rPr>
        <w:t>乡村临路产业发展</w:t>
      </w:r>
      <w:r>
        <w:rPr>
          <w:rFonts w:hint="eastAsia"/>
          <w:color w:val="333333"/>
        </w:rPr>
        <w:t>轴</w:t>
      </w:r>
      <w:r>
        <w:rPr>
          <w:color w:val="333333"/>
        </w:rPr>
        <w:t>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三区：村庄综合服务区、乡村旅游发展区、特色农业发展区。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1、村庄综合服务区：以服务于村庄为主要职能，以党群服务中心、农技服务站、电商服务设施、村庄入口景观等作为产业发展支撑设施。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2、乡村旅游发展区：以东坪</w:t>
      </w:r>
      <w:r>
        <w:rPr>
          <w:rFonts w:hint="eastAsia"/>
          <w:color w:val="333333"/>
        </w:rPr>
        <w:t>五</w:t>
      </w:r>
      <w:r>
        <w:rPr>
          <w:color w:val="333333"/>
        </w:rPr>
        <w:t>社旅游村为依托，结合旅游通道支线的区位交通优势，未来发展以东坪寺游园、示范农家乐、八坊民居、观景平台为一体的乡村特色游，以乐活牧场、固定烧烤区、油菜种植采摘为一体的亲子周末游，以星空木屋、宿营、登山步道为一体的户外体验游，打造乡村旅游发展样板，是推进全村产业结构转型的关键举措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3、特色农业发展区：以油菜、小麦、玉米、林果等传统农作物为发展基础，依托现状牛羊养殖，扩大养殖规模，积极发展设施农业，促进全村养殖业发展。以中药材种植为产业发展的提升点，加快中药材规模化种植，开展新品种的引进、示范，全力提升中药村品质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九、国土空间布局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落实县级国土空间规划确定的永久基本农田、生态保护红线划定成果，其中永久基本农田保护红线面积</w:t>
      </w:r>
      <w:r>
        <w:rPr>
          <w:color w:val="333333"/>
        </w:rPr>
        <w:t>274.04公顷（实际投影面积）</w:t>
      </w:r>
      <w:r>
        <w:rPr>
          <w:rFonts w:hint="eastAsia"/>
          <w:color w:val="333333"/>
        </w:rPr>
        <w:t>，</w:t>
      </w:r>
      <w:r>
        <w:rPr>
          <w:color w:val="333333"/>
        </w:rPr>
        <w:t>占东坪寺村村域总面积的61.53%。</w:t>
      </w:r>
      <w:r>
        <w:rPr>
          <w:rFonts w:hint="eastAsia"/>
          <w:color w:val="333333"/>
        </w:rPr>
        <w:t>生态保护红线面积</w:t>
      </w:r>
      <w:r>
        <w:rPr>
          <w:color w:val="333333"/>
        </w:rPr>
        <w:t>5.37公顷</w:t>
      </w:r>
      <w:r>
        <w:rPr>
          <w:rFonts w:hint="eastAsia"/>
          <w:color w:val="333333"/>
        </w:rPr>
        <w:t>，</w:t>
      </w:r>
      <w:r>
        <w:rPr>
          <w:color w:val="333333"/>
        </w:rPr>
        <w:t>占东坪寺村村域总面积的1.21%。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bookmarkStart w:id="0" w:name="_Toc109896552"/>
      <w:r>
        <w:rPr>
          <w:rFonts w:hint="eastAsia"/>
          <w:color w:val="333333"/>
        </w:rPr>
        <w:t>1、</w:t>
      </w:r>
      <w:r>
        <w:rPr>
          <w:color w:val="333333"/>
        </w:rPr>
        <w:t>生态用地布局</w:t>
      </w:r>
      <w:bookmarkEnd w:id="0"/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林地布局：林地面积共45.89公顷，占生态用地的43.19%</w:t>
      </w:r>
      <w:r>
        <w:rPr>
          <w:rFonts w:hint="eastAsia"/>
          <w:color w:val="333333"/>
        </w:rPr>
        <w:t>，主要分布在村庄西部和南部的山地沟壑区域，少量带状分布于两村河流沿线。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湿地和陆地水域布局：河流水面面积5.56公顷，占生态用地的5.23％，主要分布在村庄南部的河道内。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2、</w:t>
      </w:r>
      <w:bookmarkStart w:id="1" w:name="_Toc109896553"/>
      <w:r>
        <w:rPr>
          <w:color w:val="333333"/>
        </w:rPr>
        <w:t>农业用地布局</w:t>
      </w:r>
      <w:bookmarkEnd w:id="1"/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耕地布局：东坪寺村永久基本农田面积为122.55公顷（实际投影面积），具体空间布局需上位规划明确后落位。规划期末，村庄耕地面积共311.67公顷。规划农用地内部结构调整为，村庄内零星畜禽养殖设施建设用地复垦为耕地，面积共计0.48公顷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 xml:space="preserve">园地布局：园地0.21 公顷，主要分布在四社和六社村庄周围。 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农业设施建设用地布局：规划期末，农业设施建设用地共12.55公顷，</w:t>
      </w:r>
      <w:r>
        <w:rPr>
          <w:rFonts w:hint="eastAsia"/>
          <w:color w:val="333333"/>
        </w:rPr>
        <w:t>位于村庄内部，为</w:t>
      </w:r>
      <w:r>
        <w:rPr>
          <w:color w:val="333333"/>
        </w:rPr>
        <w:t>村庄</w:t>
      </w:r>
      <w:r>
        <w:rPr>
          <w:rFonts w:hint="eastAsia"/>
          <w:color w:val="333333"/>
        </w:rPr>
        <w:t>道路、种植设施用地、养殖设施用地及规划</w:t>
      </w:r>
      <w:r>
        <w:rPr>
          <w:color w:val="333333"/>
        </w:rPr>
        <w:t>产业路硬化、</w:t>
      </w:r>
      <w:r>
        <w:rPr>
          <w:rFonts w:hint="eastAsia"/>
          <w:color w:val="333333"/>
        </w:rPr>
        <w:t>规划养殖设施等</w:t>
      </w:r>
      <w:r>
        <w:rPr>
          <w:color w:val="333333"/>
        </w:rPr>
        <w:t>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bookmarkStart w:id="2" w:name="_Toc109896554"/>
      <w:r>
        <w:rPr>
          <w:rFonts w:hint="eastAsia"/>
          <w:color w:val="333333"/>
        </w:rPr>
        <w:t>3、</w:t>
      </w:r>
      <w:r>
        <w:rPr>
          <w:color w:val="333333"/>
        </w:rPr>
        <w:t>建设用地布局</w:t>
      </w:r>
      <w:bookmarkEnd w:id="2"/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村庄</w:t>
      </w:r>
      <w:r>
        <w:rPr>
          <w:rFonts w:hint="eastAsia"/>
          <w:color w:val="333333"/>
        </w:rPr>
        <w:t>内</w:t>
      </w:r>
      <w:r>
        <w:rPr>
          <w:color w:val="333333"/>
        </w:rPr>
        <w:t>建设用地14.73公顷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村庄用地布局</w:t>
      </w:r>
      <w:r>
        <w:rPr>
          <w:rFonts w:hint="eastAsia"/>
          <w:color w:val="333333"/>
        </w:rPr>
        <w:t>：</w:t>
      </w:r>
      <w:r>
        <w:rPr>
          <w:color w:val="333333"/>
        </w:rPr>
        <w:t>居住用地</w:t>
      </w:r>
      <w:r>
        <w:rPr>
          <w:rFonts w:hint="eastAsia"/>
          <w:color w:val="333333"/>
        </w:rPr>
        <w:t>面积为1</w:t>
      </w:r>
      <w:r>
        <w:rPr>
          <w:color w:val="333333"/>
        </w:rPr>
        <w:t>2.50</w:t>
      </w:r>
      <w:r>
        <w:rPr>
          <w:rFonts w:hint="eastAsia"/>
          <w:color w:val="333333"/>
        </w:rPr>
        <w:t>公顷，</w:t>
      </w:r>
      <w:r>
        <w:rPr>
          <w:color w:val="333333"/>
        </w:rPr>
        <w:t>规划前后减少了0.10公顷，主要为建设用地盘活利用为广场用地及中小学用地。共管理与公共服务用地</w:t>
      </w:r>
      <w:r>
        <w:rPr>
          <w:rFonts w:hint="eastAsia"/>
          <w:color w:val="333333"/>
        </w:rPr>
        <w:t>面积为0</w:t>
      </w:r>
      <w:r>
        <w:rPr>
          <w:color w:val="333333"/>
        </w:rPr>
        <w:t>.54</w:t>
      </w:r>
      <w:r>
        <w:rPr>
          <w:rFonts w:hint="eastAsia"/>
          <w:color w:val="333333"/>
        </w:rPr>
        <w:t>公顷，</w:t>
      </w:r>
      <w:r>
        <w:rPr>
          <w:color w:val="333333"/>
        </w:rPr>
        <w:t>前后增加0.32公顷，主要用于村小学操场扩建。 公用设施用地</w:t>
      </w:r>
      <w:r>
        <w:rPr>
          <w:rFonts w:hint="eastAsia"/>
          <w:color w:val="333333"/>
        </w:rPr>
        <w:t>面积为0</w:t>
      </w:r>
      <w:r>
        <w:rPr>
          <w:color w:val="333333"/>
        </w:rPr>
        <w:t>.06</w:t>
      </w:r>
      <w:r>
        <w:rPr>
          <w:rFonts w:hint="eastAsia"/>
          <w:color w:val="333333"/>
        </w:rPr>
        <w:t>公顷，</w:t>
      </w:r>
      <w:r>
        <w:rPr>
          <w:color w:val="333333"/>
        </w:rPr>
        <w:t>为村庄西侧供水用地</w:t>
      </w:r>
      <w:r>
        <w:rPr>
          <w:rFonts w:hint="eastAsia"/>
          <w:color w:val="333333"/>
        </w:rPr>
        <w:t>。</w:t>
      </w:r>
      <w:r>
        <w:rPr>
          <w:color w:val="333333"/>
        </w:rPr>
        <w:t xml:space="preserve"> 绿地与开敞空间用地</w:t>
      </w:r>
      <w:r>
        <w:rPr>
          <w:rFonts w:hint="eastAsia"/>
          <w:color w:val="333333"/>
        </w:rPr>
        <w:t>0</w:t>
      </w:r>
      <w:r>
        <w:rPr>
          <w:color w:val="333333"/>
        </w:rPr>
        <w:t>.92</w:t>
      </w:r>
      <w:r>
        <w:rPr>
          <w:rFonts w:hint="eastAsia"/>
          <w:color w:val="333333"/>
        </w:rPr>
        <w:t>公顷，</w:t>
      </w:r>
      <w:r>
        <w:rPr>
          <w:color w:val="333333"/>
        </w:rPr>
        <w:t>前后共增加0.74公顷，用于增加分社广场和公园绿地。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区域基础设施用地布局</w:t>
      </w:r>
      <w:r>
        <w:rPr>
          <w:rFonts w:hint="eastAsia"/>
          <w:color w:val="333333"/>
        </w:rPr>
        <w:t>：</w:t>
      </w:r>
      <w:r>
        <w:rPr>
          <w:color w:val="333333"/>
        </w:rPr>
        <w:t>区域交通用地面积0.41公顷，占建设用地的2.78％，主要分布在村庄中部</w:t>
      </w:r>
      <w:r>
        <w:rPr>
          <w:rFonts w:hint="eastAsia"/>
          <w:color w:val="333333"/>
        </w:rPr>
        <w:t>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其他建设用地布局</w:t>
      </w:r>
      <w:r>
        <w:rPr>
          <w:rFonts w:hint="eastAsia"/>
          <w:color w:val="333333"/>
        </w:rPr>
        <w:t>：</w:t>
      </w:r>
      <w:r>
        <w:rPr>
          <w:color w:val="333333"/>
        </w:rPr>
        <w:t>其他建设用地为特殊用地</w:t>
      </w:r>
      <w:r>
        <w:rPr>
          <w:rFonts w:hint="eastAsia"/>
          <w:color w:val="333333"/>
        </w:rPr>
        <w:t>，</w:t>
      </w:r>
      <w:r>
        <w:rPr>
          <w:color w:val="333333"/>
        </w:rPr>
        <w:t>规划期内保持不变。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十、居民点布局与管控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东坪寺村是一个典型的山地散居型村落，现状聚居点多沿村道两侧呈“带状”、“点状”零散分布，每一处以十到几十栋传统建筑形成院落式围合布局，呈现“大分散、小集中”的空间特征。本次规划总体平面布局根据空间集聚程度按四片区展开，分别为一社、二七社、三四社、五六社为片区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根据现状分户需求和人口预测结果，规划新增宅基地选址优先考虑在农村宅基地建设用地范围内选择，最终达到集约节约用地的目的。规划期末共新增宅基地21户。其中一社规划新增宅基地6户，二、七社规划规划新增宅基地8户，五、六社规划新增宅基地7户。</w:t>
      </w:r>
      <w:r>
        <w:rPr>
          <w:rFonts w:hint="eastAsia"/>
          <w:color w:val="333333"/>
        </w:rPr>
        <w:t>宅基地建设上坚持“一户一宅”，每户院落的面积控制在267㎡以内，尊重现状集中连片的村庄布局，在维护现有宅基地和尊重村民意愿的前提下，对现状废弃宅基地或村内闲置的集体用地进行功能置换、整合和整理，保障居民分户需要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一社：为提高村庄形象，加强村民归属感，在东坪寺村一社东侧入口处设置村庄入口标示，景观上配置可遮阴的当地树种，营造乡愁的氛围。配套新建村民活动广场，配置相应的文化活动室和健身器材。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二七社：完善东坪寺村服务设施配套，完善党群服务中心功能，在东坪寺村二、七社，盘活闲置老村部，配套老人活动室与老人爱心食堂。扩建东坪寺小学操场，设置跑道、篮球场、排球场等运动场地。在东坪寺西侧打造一处西侧入口形象空间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五六社：结合五六社靠近旅游通道支线的区位交通优势，整合两村文化特色资源，提高旅游接待能力，规划一处示范农家乐，结合八坊民居、小型儿童游乐设施、登山步道、星空木屋等游乐设施，将五六社打造为具有民俗特色的旅游村，完善配套设施，在六社利用原打谷场作为村庄活动广场；在五社结合东坪寺旧址，规划一处东坪寺游园，并配置活动广场一处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三四社：在三四社利用原打谷场，各规划一处组团活动广场，配置相应的文化活动室和健身器材。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助力村庄产业发展，完善村域内南部旅游道路，作为向西联系旅游大通道，向东联系国道G310的主要连接道路，同时也作为村庄对外联系的主要通道。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依托现状牛羊养殖合作社，扩大养殖规模，在村域西部规划一处集中养殖点，积极发展设施农业，促进全村养殖业发展。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color w:val="333333"/>
        </w:rPr>
        <w:t>对村域内河道进行治理，增加居民游憩场所。</w:t>
      </w:r>
    </w:p>
    <w:p>
      <w:pPr>
        <w:pStyle w:val="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十二、附图</w:t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77485" cy="3732530"/>
            <wp:effectExtent l="0" t="0" r="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32" cy="373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71135" cy="3728085"/>
            <wp:effectExtent l="0" t="0" r="5715" b="571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76" cy="373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83835" cy="373697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989" cy="37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99075" cy="3748405"/>
            <wp:effectExtent l="0" t="0" r="0" b="44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406" cy="37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305425" cy="3748405"/>
            <wp:effectExtent l="0" t="0" r="9525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509" cy="376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99075" cy="3743960"/>
            <wp:effectExtent l="0" t="0" r="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746" cy="37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51450" cy="3710305"/>
            <wp:effectExtent l="0" t="0" r="635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01" cy="37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eastAsia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69230" cy="3723005"/>
            <wp:effectExtent l="0" t="0" r="762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502" cy="37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jc w:val="center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1NjAzZDlmNjAzYjUzZGZiYjlmNTM0YjU2Mzk3NjgifQ=="/>
  </w:docVars>
  <w:rsids>
    <w:rsidRoot w:val="00982842"/>
    <w:rsid w:val="000175D8"/>
    <w:rsid w:val="00026D51"/>
    <w:rsid w:val="00031045"/>
    <w:rsid w:val="000500E2"/>
    <w:rsid w:val="000523EB"/>
    <w:rsid w:val="00066C20"/>
    <w:rsid w:val="000705FF"/>
    <w:rsid w:val="000707BF"/>
    <w:rsid w:val="00071704"/>
    <w:rsid w:val="00083258"/>
    <w:rsid w:val="00085E82"/>
    <w:rsid w:val="00087E64"/>
    <w:rsid w:val="00095EA6"/>
    <w:rsid w:val="000A6503"/>
    <w:rsid w:val="000B2395"/>
    <w:rsid w:val="000B3A70"/>
    <w:rsid w:val="000D5C5C"/>
    <w:rsid w:val="000F2455"/>
    <w:rsid w:val="000F6156"/>
    <w:rsid w:val="000F6ECE"/>
    <w:rsid w:val="00117CF8"/>
    <w:rsid w:val="00126464"/>
    <w:rsid w:val="001316E2"/>
    <w:rsid w:val="001461B1"/>
    <w:rsid w:val="00147595"/>
    <w:rsid w:val="0015237B"/>
    <w:rsid w:val="00161DC4"/>
    <w:rsid w:val="00162B3C"/>
    <w:rsid w:val="001707D9"/>
    <w:rsid w:val="00183E68"/>
    <w:rsid w:val="001865D9"/>
    <w:rsid w:val="001973C2"/>
    <w:rsid w:val="001A6F65"/>
    <w:rsid w:val="001B2100"/>
    <w:rsid w:val="001F10DE"/>
    <w:rsid w:val="002102A0"/>
    <w:rsid w:val="00212ECF"/>
    <w:rsid w:val="002140B9"/>
    <w:rsid w:val="002157E1"/>
    <w:rsid w:val="00221BED"/>
    <w:rsid w:val="002247E2"/>
    <w:rsid w:val="00237F8D"/>
    <w:rsid w:val="00241B39"/>
    <w:rsid w:val="0026565D"/>
    <w:rsid w:val="00273750"/>
    <w:rsid w:val="0029446D"/>
    <w:rsid w:val="00294DEE"/>
    <w:rsid w:val="002B0EB6"/>
    <w:rsid w:val="002B3196"/>
    <w:rsid w:val="002B56A5"/>
    <w:rsid w:val="002C698B"/>
    <w:rsid w:val="002D03E2"/>
    <w:rsid w:val="002E5069"/>
    <w:rsid w:val="002E7736"/>
    <w:rsid w:val="002F0767"/>
    <w:rsid w:val="003074B0"/>
    <w:rsid w:val="003109CF"/>
    <w:rsid w:val="00312284"/>
    <w:rsid w:val="003336E1"/>
    <w:rsid w:val="0034105D"/>
    <w:rsid w:val="003416FE"/>
    <w:rsid w:val="0034498E"/>
    <w:rsid w:val="00345644"/>
    <w:rsid w:val="003464EE"/>
    <w:rsid w:val="00375D1F"/>
    <w:rsid w:val="00382399"/>
    <w:rsid w:val="00382B4A"/>
    <w:rsid w:val="003B0120"/>
    <w:rsid w:val="003D1472"/>
    <w:rsid w:val="003F19A0"/>
    <w:rsid w:val="004009C1"/>
    <w:rsid w:val="00402037"/>
    <w:rsid w:val="00402DEE"/>
    <w:rsid w:val="00416044"/>
    <w:rsid w:val="004412DD"/>
    <w:rsid w:val="004438BA"/>
    <w:rsid w:val="004706F0"/>
    <w:rsid w:val="00470BAD"/>
    <w:rsid w:val="00472BB6"/>
    <w:rsid w:val="00474752"/>
    <w:rsid w:val="00496E07"/>
    <w:rsid w:val="004A2172"/>
    <w:rsid w:val="004B1284"/>
    <w:rsid w:val="004B1BD7"/>
    <w:rsid w:val="004B4011"/>
    <w:rsid w:val="004C2795"/>
    <w:rsid w:val="004F4230"/>
    <w:rsid w:val="004F5147"/>
    <w:rsid w:val="00504332"/>
    <w:rsid w:val="005113FD"/>
    <w:rsid w:val="00512EDB"/>
    <w:rsid w:val="00525331"/>
    <w:rsid w:val="00533211"/>
    <w:rsid w:val="00544D61"/>
    <w:rsid w:val="005456D7"/>
    <w:rsid w:val="00555F3D"/>
    <w:rsid w:val="005619FB"/>
    <w:rsid w:val="00564D37"/>
    <w:rsid w:val="0057228C"/>
    <w:rsid w:val="00581972"/>
    <w:rsid w:val="00582544"/>
    <w:rsid w:val="00584BAC"/>
    <w:rsid w:val="00595751"/>
    <w:rsid w:val="00595816"/>
    <w:rsid w:val="0059665F"/>
    <w:rsid w:val="005A2F08"/>
    <w:rsid w:val="005A52F6"/>
    <w:rsid w:val="005B7255"/>
    <w:rsid w:val="005C236E"/>
    <w:rsid w:val="005C24BD"/>
    <w:rsid w:val="005C381D"/>
    <w:rsid w:val="005E1390"/>
    <w:rsid w:val="00602573"/>
    <w:rsid w:val="00613628"/>
    <w:rsid w:val="00613CC4"/>
    <w:rsid w:val="00614CE3"/>
    <w:rsid w:val="006158DE"/>
    <w:rsid w:val="0063210D"/>
    <w:rsid w:val="0064443D"/>
    <w:rsid w:val="00655ECC"/>
    <w:rsid w:val="00660AB8"/>
    <w:rsid w:val="00677861"/>
    <w:rsid w:val="0069345B"/>
    <w:rsid w:val="006A2A0B"/>
    <w:rsid w:val="006A316C"/>
    <w:rsid w:val="006A33D7"/>
    <w:rsid w:val="006A4252"/>
    <w:rsid w:val="006B732A"/>
    <w:rsid w:val="006C3940"/>
    <w:rsid w:val="006C4FC1"/>
    <w:rsid w:val="006E59D2"/>
    <w:rsid w:val="00705C11"/>
    <w:rsid w:val="007145A8"/>
    <w:rsid w:val="00741223"/>
    <w:rsid w:val="00742AA2"/>
    <w:rsid w:val="00742D6C"/>
    <w:rsid w:val="00743FE3"/>
    <w:rsid w:val="00744B0C"/>
    <w:rsid w:val="00756C6C"/>
    <w:rsid w:val="0076272A"/>
    <w:rsid w:val="00770434"/>
    <w:rsid w:val="00774DDD"/>
    <w:rsid w:val="007776EC"/>
    <w:rsid w:val="007839C6"/>
    <w:rsid w:val="00796397"/>
    <w:rsid w:val="007B2F6A"/>
    <w:rsid w:val="007C5EA6"/>
    <w:rsid w:val="007D47F0"/>
    <w:rsid w:val="007E7920"/>
    <w:rsid w:val="00811248"/>
    <w:rsid w:val="00814BA9"/>
    <w:rsid w:val="0081762B"/>
    <w:rsid w:val="00823C20"/>
    <w:rsid w:val="00833D47"/>
    <w:rsid w:val="008510D0"/>
    <w:rsid w:val="0085255A"/>
    <w:rsid w:val="00870CEE"/>
    <w:rsid w:val="0087216B"/>
    <w:rsid w:val="0087400E"/>
    <w:rsid w:val="008A6E88"/>
    <w:rsid w:val="008B0C3B"/>
    <w:rsid w:val="008B7366"/>
    <w:rsid w:val="008C6E51"/>
    <w:rsid w:val="008D3D7C"/>
    <w:rsid w:val="008D6341"/>
    <w:rsid w:val="008D7408"/>
    <w:rsid w:val="008E6950"/>
    <w:rsid w:val="008F6A23"/>
    <w:rsid w:val="009014E4"/>
    <w:rsid w:val="00926AFA"/>
    <w:rsid w:val="00951E30"/>
    <w:rsid w:val="009632F7"/>
    <w:rsid w:val="00982842"/>
    <w:rsid w:val="009849C9"/>
    <w:rsid w:val="00987DF4"/>
    <w:rsid w:val="00991C9B"/>
    <w:rsid w:val="009B1B3D"/>
    <w:rsid w:val="009B5A51"/>
    <w:rsid w:val="009C08FC"/>
    <w:rsid w:val="009C7F5C"/>
    <w:rsid w:val="009F4DDE"/>
    <w:rsid w:val="00A00E39"/>
    <w:rsid w:val="00A2553F"/>
    <w:rsid w:val="00A32E14"/>
    <w:rsid w:val="00A401AC"/>
    <w:rsid w:val="00A4357E"/>
    <w:rsid w:val="00A60F52"/>
    <w:rsid w:val="00A649A2"/>
    <w:rsid w:val="00A701C2"/>
    <w:rsid w:val="00A772B8"/>
    <w:rsid w:val="00A80CF6"/>
    <w:rsid w:val="00A80F3D"/>
    <w:rsid w:val="00A81D64"/>
    <w:rsid w:val="00A8298D"/>
    <w:rsid w:val="00A84BC9"/>
    <w:rsid w:val="00A963BB"/>
    <w:rsid w:val="00AC09FB"/>
    <w:rsid w:val="00AC5639"/>
    <w:rsid w:val="00AD442D"/>
    <w:rsid w:val="00AD67E4"/>
    <w:rsid w:val="00AE0ADA"/>
    <w:rsid w:val="00AE2239"/>
    <w:rsid w:val="00AE77DA"/>
    <w:rsid w:val="00AF0C56"/>
    <w:rsid w:val="00AF1944"/>
    <w:rsid w:val="00AF4C41"/>
    <w:rsid w:val="00AF4D04"/>
    <w:rsid w:val="00B1178D"/>
    <w:rsid w:val="00B12DB9"/>
    <w:rsid w:val="00B26C3D"/>
    <w:rsid w:val="00B4618C"/>
    <w:rsid w:val="00B534B4"/>
    <w:rsid w:val="00B557C7"/>
    <w:rsid w:val="00B559D4"/>
    <w:rsid w:val="00B71F4F"/>
    <w:rsid w:val="00B85F77"/>
    <w:rsid w:val="00B86CF4"/>
    <w:rsid w:val="00B93EAB"/>
    <w:rsid w:val="00B977CA"/>
    <w:rsid w:val="00BB1B44"/>
    <w:rsid w:val="00BC382E"/>
    <w:rsid w:val="00BC5538"/>
    <w:rsid w:val="00BD6350"/>
    <w:rsid w:val="00C06832"/>
    <w:rsid w:val="00C13E56"/>
    <w:rsid w:val="00C1472D"/>
    <w:rsid w:val="00C248D7"/>
    <w:rsid w:val="00C41CCA"/>
    <w:rsid w:val="00C55DDD"/>
    <w:rsid w:val="00C56AAB"/>
    <w:rsid w:val="00C65670"/>
    <w:rsid w:val="00C812A3"/>
    <w:rsid w:val="00C9014D"/>
    <w:rsid w:val="00C904C5"/>
    <w:rsid w:val="00C91AE1"/>
    <w:rsid w:val="00CA4DA3"/>
    <w:rsid w:val="00CB39DD"/>
    <w:rsid w:val="00CB5B09"/>
    <w:rsid w:val="00CC2DCB"/>
    <w:rsid w:val="00CC4F3C"/>
    <w:rsid w:val="00CC5CCA"/>
    <w:rsid w:val="00CD1D7A"/>
    <w:rsid w:val="00CD42B7"/>
    <w:rsid w:val="00D01F02"/>
    <w:rsid w:val="00D02918"/>
    <w:rsid w:val="00D03201"/>
    <w:rsid w:val="00D05756"/>
    <w:rsid w:val="00D37DE7"/>
    <w:rsid w:val="00D4148B"/>
    <w:rsid w:val="00D74D9E"/>
    <w:rsid w:val="00D7539C"/>
    <w:rsid w:val="00D75F79"/>
    <w:rsid w:val="00D83E9F"/>
    <w:rsid w:val="00D972D1"/>
    <w:rsid w:val="00DB2A0C"/>
    <w:rsid w:val="00DD703D"/>
    <w:rsid w:val="00DD7573"/>
    <w:rsid w:val="00DE6548"/>
    <w:rsid w:val="00DE7322"/>
    <w:rsid w:val="00E10C4F"/>
    <w:rsid w:val="00E14CEC"/>
    <w:rsid w:val="00E20F76"/>
    <w:rsid w:val="00E23305"/>
    <w:rsid w:val="00E261AA"/>
    <w:rsid w:val="00E275D6"/>
    <w:rsid w:val="00E404AB"/>
    <w:rsid w:val="00E42584"/>
    <w:rsid w:val="00E52F0E"/>
    <w:rsid w:val="00E673CA"/>
    <w:rsid w:val="00E70953"/>
    <w:rsid w:val="00E70FD5"/>
    <w:rsid w:val="00E750EC"/>
    <w:rsid w:val="00E75261"/>
    <w:rsid w:val="00E93693"/>
    <w:rsid w:val="00EA53D2"/>
    <w:rsid w:val="00EB4593"/>
    <w:rsid w:val="00EC7C2B"/>
    <w:rsid w:val="00EF3448"/>
    <w:rsid w:val="00F11146"/>
    <w:rsid w:val="00F12FE4"/>
    <w:rsid w:val="00F164E0"/>
    <w:rsid w:val="00F41625"/>
    <w:rsid w:val="00F41BFB"/>
    <w:rsid w:val="00F445BE"/>
    <w:rsid w:val="00F66B8D"/>
    <w:rsid w:val="00F75725"/>
    <w:rsid w:val="00F75DD0"/>
    <w:rsid w:val="00F80B54"/>
    <w:rsid w:val="00F842E7"/>
    <w:rsid w:val="00F870C8"/>
    <w:rsid w:val="00F879CE"/>
    <w:rsid w:val="00FA1C20"/>
    <w:rsid w:val="00FA35B4"/>
    <w:rsid w:val="00FA6D62"/>
    <w:rsid w:val="00FC1378"/>
    <w:rsid w:val="00FC7E6C"/>
    <w:rsid w:val="00FD247D"/>
    <w:rsid w:val="00FD47AD"/>
    <w:rsid w:val="00FD5071"/>
    <w:rsid w:val="2F2D0DD5"/>
    <w:rsid w:val="52AD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rFonts w:ascii="宋体" w:hAnsi="宋体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8"/>
    <w:semiHidden/>
    <w:unhideWhenUsed/>
    <w:uiPriority w:val="99"/>
    <w:pPr>
      <w:spacing w:after="120"/>
    </w:pPr>
  </w:style>
  <w:style w:type="paragraph" w:styleId="5">
    <w:name w:val="Body Text Indent"/>
    <w:basedOn w:val="1"/>
    <w:link w:val="16"/>
    <w:semiHidden/>
    <w:unhideWhenUsed/>
    <w:uiPriority w:val="99"/>
    <w:pPr>
      <w:spacing w:after="120"/>
      <w:ind w:left="420" w:leftChars="200"/>
    </w:p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17"/>
    <w:semiHidden/>
    <w:unhideWhenUsed/>
    <w:uiPriority w:val="99"/>
    <w:rPr>
      <w:rFonts w:ascii="Courier New" w:hAnsi="Courier New" w:cs="Courier New"/>
      <w:sz w:val="20"/>
      <w:szCs w:val="20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页眉 字符"/>
    <w:basedOn w:val="11"/>
    <w:link w:val="7"/>
    <w:uiPriority w:val="99"/>
    <w:rPr>
      <w:sz w:val="18"/>
      <w:szCs w:val="18"/>
    </w:rPr>
  </w:style>
  <w:style w:type="character" w:customStyle="1" w:styleId="13">
    <w:name w:val="页脚 字符"/>
    <w:basedOn w:val="11"/>
    <w:link w:val="6"/>
    <w:uiPriority w:val="99"/>
    <w:rPr>
      <w:sz w:val="18"/>
      <w:szCs w:val="18"/>
    </w:rPr>
  </w:style>
  <w:style w:type="character" w:customStyle="1" w:styleId="14">
    <w:name w:val="标题 1 字符"/>
    <w:basedOn w:val="11"/>
    <w:link w:val="2"/>
    <w:uiPriority w:val="9"/>
    <w:rPr>
      <w:rFonts w:ascii="宋体" w:hAnsi="宋体" w:eastAsia="宋体"/>
      <w:b/>
      <w:bCs/>
      <w:kern w:val="44"/>
      <w:sz w:val="44"/>
      <w:szCs w:val="44"/>
    </w:rPr>
  </w:style>
  <w:style w:type="paragraph" w:customStyle="1" w:styleId="15">
    <w:name w:val="样式 正文文本缩进ly-正文 + 首行缩进:  2 字符"/>
    <w:basedOn w:val="5"/>
    <w:next w:val="8"/>
    <w:qFormat/>
    <w:uiPriority w:val="99"/>
    <w:pPr>
      <w:widowControl/>
      <w:spacing w:after="0" w:line="360" w:lineRule="auto"/>
      <w:ind w:left="0" w:leftChars="0" w:firstLine="480" w:firstLineChars="200"/>
      <w:jc w:val="left"/>
    </w:pPr>
    <w:rPr>
      <w:rFonts w:ascii="Calibri" w:hAnsi="Calibri" w:eastAsia="宋体" w:cs="宋体"/>
      <w:kern w:val="0"/>
      <w:sz w:val="24"/>
      <w:lang w:eastAsia="en-US"/>
    </w:rPr>
  </w:style>
  <w:style w:type="character" w:customStyle="1" w:styleId="16">
    <w:name w:val="正文文本缩进 字符"/>
    <w:basedOn w:val="11"/>
    <w:link w:val="5"/>
    <w:semiHidden/>
    <w:uiPriority w:val="99"/>
  </w:style>
  <w:style w:type="character" w:customStyle="1" w:styleId="17">
    <w:name w:val="HTML 预设格式 字符"/>
    <w:basedOn w:val="11"/>
    <w:link w:val="8"/>
    <w:semiHidden/>
    <w:uiPriority w:val="99"/>
    <w:rPr>
      <w:rFonts w:ascii="Courier New" w:hAnsi="Courier New" w:cs="Courier New"/>
      <w:sz w:val="20"/>
      <w:szCs w:val="20"/>
    </w:rPr>
  </w:style>
  <w:style w:type="character" w:customStyle="1" w:styleId="18">
    <w:name w:val="正文文本 字符"/>
    <w:basedOn w:val="11"/>
    <w:link w:val="4"/>
    <w:semiHidden/>
    <w:uiPriority w:val="99"/>
    <w:rPr>
      <w:kern w:val="2"/>
      <w:sz w:val="21"/>
      <w:szCs w:val="22"/>
    </w:rPr>
  </w:style>
  <w:style w:type="character" w:customStyle="1" w:styleId="19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2907</Words>
  <Characters>3122</Characters>
  <Lines>22</Lines>
  <Paragraphs>6</Paragraphs>
  <TotalTime>0</TotalTime>
  <ScaleCrop>false</ScaleCrop>
  <LinksUpToDate>false</LinksUpToDate>
  <CharactersWithSpaces>3129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2022-11-11T03:49:00Z</dcterms:created>
  <dc:creator>admin</dc:creator>
  <cp:lastModifiedBy>Administrator</cp:lastModifiedBy>
  <dcterms:modified xsi:type="dcterms:W3CDTF">2022-11-14T01:23:34Z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B069B585BB404D398504A769A3E2380E</vt:lpwstr>
  </property>
</Properties>
</file>