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default" w:ascii="宋体" w:hAnsi="宋体" w:cs="宋体"/>
          <w:b/>
          <w:bCs/>
          <w:kern w:val="0"/>
          <w:sz w:val="44"/>
          <w:szCs w:val="44"/>
          <w:lang w:val="en-US" w:eastAsia="zh-CN"/>
        </w:rPr>
      </w:pPr>
      <w:r>
        <w:rPr>
          <w:rFonts w:hint="eastAsia" w:ascii="宋体" w:hAnsi="宋体" w:cs="宋体"/>
          <w:b/>
          <w:bCs/>
          <w:kern w:val="0"/>
          <w:sz w:val="44"/>
          <w:szCs w:val="44"/>
          <w:lang w:val="en-US" w:eastAsia="zh-CN"/>
        </w:rPr>
        <w:t>中共积石山县纪律检查委员会</w:t>
      </w:r>
    </w:p>
    <w:p>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2024年部门预算公开情况说明 </w:t>
      </w: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部门/单位基本概况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2024年部门/单位预算情况说明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2024年部门（单位）预算公开表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二、部门/单位收入总体情况表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三、部门/单位支出总体情况表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一</w:t>
      </w:r>
      <w:r>
        <w:rPr>
          <w:rFonts w:hint="eastAsia" w:ascii="仿宋_GB2312" w:hAnsi="仿宋" w:eastAsia="仿宋_GB2312"/>
          <w:color w:val="000000"/>
          <w:sz w:val="30"/>
          <w:szCs w:val="30"/>
        </w:rPr>
        <w:t>、国有资本经营预算支出情况表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二</w:t>
      </w:r>
      <w:r>
        <w:rPr>
          <w:rFonts w:hint="eastAsia" w:ascii="仿宋_GB2312" w:hAnsi="仿宋" w:eastAsia="仿宋_GB2312"/>
          <w:color w:val="000000"/>
          <w:sz w:val="30"/>
          <w:szCs w:val="30"/>
        </w:rPr>
        <w:t>、部门/单位整体支出绩效目标表和项目支出绩效目标表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一、部门/单位职责</w:t>
      </w:r>
    </w:p>
    <w:p>
      <w:pPr>
        <w:tabs>
          <w:tab w:val="left" w:pos="941"/>
        </w:tabs>
        <w:spacing w:line="62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《中共积石山县委办公室关于</w:t>
      </w:r>
      <w:r>
        <w:rPr>
          <w:rFonts w:hint="eastAsia" w:ascii="仿宋_GB2312" w:hAnsi="仿宋_GB2312" w:eastAsia="仿宋_GB2312" w:cs="仿宋_GB2312"/>
          <w:bCs/>
          <w:kern w:val="0"/>
          <w:sz w:val="32"/>
          <w:szCs w:val="32"/>
          <w:lang w:val="en-US" w:eastAsia="zh-CN"/>
        </w:rPr>
        <w:t>印发</w:t>
      </w:r>
      <w:r>
        <w:rPr>
          <w:rFonts w:ascii="仿宋_GB2312" w:hAnsi="仿宋_GB2312" w:eastAsia="仿宋_GB2312" w:cs="仿宋_GB2312"/>
          <w:bCs/>
          <w:kern w:val="0"/>
          <w:sz w:val="32"/>
          <w:szCs w:val="32"/>
        </w:rPr>
        <w:t>&lt;</w:t>
      </w:r>
      <w:r>
        <w:rPr>
          <w:rFonts w:hint="eastAsia" w:ascii="仿宋_GB2312" w:hAnsi="仿宋_GB2312" w:eastAsia="仿宋_GB2312" w:cs="仿宋_GB2312"/>
          <w:bCs/>
          <w:kern w:val="0"/>
          <w:sz w:val="32"/>
          <w:szCs w:val="32"/>
          <w:lang w:val="en-US" w:eastAsia="zh-CN"/>
        </w:rPr>
        <w:t>中国共产党</w:t>
      </w:r>
      <w:r>
        <w:rPr>
          <w:rFonts w:hint="eastAsia" w:ascii="仿宋_GB2312" w:hAnsi="仿宋_GB2312" w:eastAsia="仿宋_GB2312" w:cs="仿宋_GB2312"/>
          <w:bCs/>
          <w:kern w:val="0"/>
          <w:sz w:val="32"/>
          <w:szCs w:val="32"/>
        </w:rPr>
        <w:t>积石山保安族东乡族撒拉族自治县</w:t>
      </w:r>
      <w:r>
        <w:rPr>
          <w:rFonts w:hint="eastAsia" w:ascii="仿宋_GB2312" w:hAnsi="仿宋_GB2312" w:eastAsia="仿宋_GB2312" w:cs="仿宋_GB2312"/>
          <w:bCs/>
          <w:kern w:val="0"/>
          <w:sz w:val="32"/>
          <w:szCs w:val="32"/>
          <w:lang w:val="en-US" w:eastAsia="zh-CN"/>
        </w:rPr>
        <w:t>纪律检查委员会、</w:t>
      </w:r>
      <w:r>
        <w:rPr>
          <w:rFonts w:hint="eastAsia" w:ascii="仿宋_GB2312" w:hAnsi="仿宋_GB2312" w:eastAsia="仿宋_GB2312" w:cs="仿宋_GB2312"/>
          <w:bCs/>
          <w:kern w:val="0"/>
          <w:sz w:val="32"/>
          <w:szCs w:val="32"/>
        </w:rPr>
        <w:t>积石山保安族东乡族撒拉族自治县</w:t>
      </w:r>
      <w:r>
        <w:rPr>
          <w:rFonts w:hint="eastAsia" w:ascii="仿宋_GB2312" w:hAnsi="仿宋_GB2312" w:eastAsia="仿宋_GB2312" w:cs="仿宋_GB2312"/>
          <w:bCs/>
          <w:kern w:val="0"/>
          <w:sz w:val="32"/>
          <w:szCs w:val="32"/>
          <w:lang w:val="en-US" w:eastAsia="zh-CN"/>
        </w:rPr>
        <w:t>监察委员会机关职能配置、内设机构和人员编制规定</w:t>
      </w:r>
      <w:r>
        <w:rPr>
          <w:rFonts w:ascii="仿宋_GB2312" w:hAnsi="仿宋_GB2312" w:eastAsia="仿宋_GB2312" w:cs="仿宋_GB2312"/>
          <w:bCs/>
          <w:kern w:val="0"/>
          <w:sz w:val="32"/>
          <w:szCs w:val="32"/>
        </w:rPr>
        <w:t>&gt;</w:t>
      </w:r>
      <w:r>
        <w:rPr>
          <w:rFonts w:hint="eastAsia" w:ascii="仿宋_GB2312" w:hAnsi="仿宋_GB2312" w:eastAsia="仿宋_GB2312" w:cs="仿宋_GB2312"/>
          <w:bCs/>
          <w:kern w:val="0"/>
          <w:sz w:val="32"/>
          <w:szCs w:val="32"/>
        </w:rPr>
        <w:t>的通知》（</w:t>
      </w:r>
      <w:r>
        <w:rPr>
          <w:rFonts w:hint="eastAsia" w:ascii="仿宋_GB2312" w:hAnsi="仿宋_GB2312" w:eastAsia="仿宋_GB2312" w:cs="仿宋_GB2312"/>
          <w:bCs/>
          <w:kern w:val="0"/>
          <w:sz w:val="32"/>
          <w:szCs w:val="32"/>
          <w:lang w:val="en-US" w:eastAsia="zh-CN"/>
        </w:rPr>
        <w:t>积县</w:t>
      </w:r>
      <w:r>
        <w:rPr>
          <w:rFonts w:hint="eastAsia" w:ascii="仿宋_GB2312" w:hAnsi="仿宋_GB2312" w:eastAsia="仿宋_GB2312" w:cs="仿宋_GB2312"/>
          <w:bCs/>
          <w:kern w:val="0"/>
          <w:sz w:val="32"/>
          <w:szCs w:val="32"/>
        </w:rPr>
        <w:t>委办发〔</w:t>
      </w:r>
      <w:r>
        <w:rPr>
          <w:rFonts w:ascii="仿宋_GB2312" w:hAnsi="仿宋_GB2312" w:eastAsia="仿宋_GB2312" w:cs="仿宋_GB2312"/>
          <w:bCs/>
          <w:kern w:val="0"/>
          <w:sz w:val="32"/>
          <w:szCs w:val="32"/>
        </w:rPr>
        <w:t>2019</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173</w:t>
      </w:r>
      <w:r>
        <w:rPr>
          <w:rFonts w:hint="eastAsia" w:ascii="仿宋_GB2312" w:hAnsi="仿宋_GB2312" w:eastAsia="仿宋_GB2312" w:cs="仿宋_GB2312"/>
          <w:bCs/>
          <w:kern w:val="0"/>
          <w:sz w:val="32"/>
          <w:szCs w:val="32"/>
        </w:rPr>
        <w:t>号）</w:t>
      </w:r>
      <w:r>
        <w:rPr>
          <w:rFonts w:hint="eastAsia" w:ascii="仿宋" w:hAnsi="仿宋" w:eastAsia="仿宋" w:cs="仿宋"/>
          <w:bCs/>
          <w:kern w:val="0"/>
          <w:sz w:val="32"/>
          <w:szCs w:val="32"/>
        </w:rPr>
        <w:t>文件精神</w:t>
      </w:r>
      <w:r>
        <w:rPr>
          <w:rFonts w:hint="eastAsia" w:ascii="仿宋_GB2312" w:hAnsi="仿宋_GB2312" w:eastAsia="仿宋_GB2312" w:cs="仿宋_GB2312"/>
          <w:bCs/>
          <w:kern w:val="0"/>
          <w:sz w:val="32"/>
          <w:szCs w:val="32"/>
        </w:rPr>
        <w:t>，制定本规定。</w:t>
      </w:r>
    </w:p>
    <w:p>
      <w:pPr>
        <w:tabs>
          <w:tab w:val="left" w:pos="941"/>
        </w:tabs>
        <w:spacing w:line="620" w:lineRule="exact"/>
        <w:ind w:firstLine="643" w:firstLineChars="200"/>
        <w:rPr>
          <w:rFonts w:hint="eastAsia" w:ascii="仿宋_GB2312" w:hAnsi="仿宋_GB2312" w:eastAsia="仿宋_GB2312" w:cs="仿宋_GB2312"/>
          <w:bCs/>
          <w:kern w:val="0"/>
          <w:sz w:val="32"/>
          <w:szCs w:val="32"/>
          <w:lang w:eastAsia="zh-CN"/>
        </w:rPr>
      </w:pPr>
      <w:r>
        <w:rPr>
          <w:rFonts w:ascii="仿宋_GB2312" w:hAnsi="仿宋_GB2312" w:eastAsia="仿宋_GB2312" w:cs="仿宋_GB2312"/>
          <w:b/>
          <w:kern w:val="0"/>
          <w:sz w:val="32"/>
          <w:szCs w:val="32"/>
        </w:rPr>
        <w:t xml:space="preserve"> </w:t>
      </w:r>
      <w:r>
        <w:rPr>
          <w:rFonts w:hint="eastAsia" w:ascii="仿宋_GB2312" w:hAnsi="仿宋_GB2312" w:eastAsia="仿宋_GB2312" w:cs="仿宋_GB2312"/>
          <w:b/>
          <w:bCs w:val="0"/>
          <w:kern w:val="0"/>
          <w:sz w:val="32"/>
          <w:szCs w:val="32"/>
        </w:rPr>
        <w:t>第一条</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根据《中国共产党章程》《中华人民共和国宪法》《中华人民共和国监察法》《中共中央纪律检查委员会、中华人民共和国国家监察委员会机关职能配置、内设机构和人员编制规定》《中国共产党甘肃省纪律检查委员会、甘肃省监察委员会机关职能配置、内设机构和人员编制规定》以及《中国共产党临夏州纪律检查委员会、临夏州监察委员会机关职能配置、内设机构和人员编制规定》，结合实际，制定本规定</w:t>
      </w:r>
      <w:r>
        <w:rPr>
          <w:rFonts w:hint="eastAsia" w:ascii="仿宋_GB2312" w:hAnsi="仿宋_GB2312" w:eastAsia="仿宋_GB2312" w:cs="仿宋_GB2312"/>
          <w:bCs/>
          <w:kern w:val="0"/>
          <w:sz w:val="32"/>
          <w:szCs w:val="32"/>
          <w:lang w:eastAsia="zh-CN"/>
        </w:rPr>
        <w:t>。</w:t>
      </w:r>
    </w:p>
    <w:p>
      <w:pPr>
        <w:tabs>
          <w:tab w:val="left" w:pos="941"/>
        </w:tabs>
        <w:spacing w:line="620" w:lineRule="exact"/>
        <w:ind w:firstLine="643"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bCs w:val="0"/>
          <w:kern w:val="0"/>
          <w:sz w:val="32"/>
          <w:szCs w:val="32"/>
        </w:rPr>
        <w:t>第二条</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中国共产党积石山县纪律检查委员会（以下简称“县纪委”)由中国共产党积石山县代表大会选举产生，积石山县监察委员会（以下简称“县监委”）由积石山县人民代表大会产生。县纪委与县监委合署办公，实行一套工作机构、两个机关名称，履行党的纪律检查和国家监察两项职责，对州纪委监委和县委负责，并加强对派驻机构和乡镇纪委的领导</w:t>
      </w:r>
      <w:r>
        <w:rPr>
          <w:rFonts w:hint="eastAsia" w:ascii="仿宋_GB2312" w:hAnsi="仿宋_GB2312" w:eastAsia="仿宋_GB2312" w:cs="仿宋_GB2312"/>
          <w:bCs/>
          <w:kern w:val="0"/>
          <w:sz w:val="32"/>
          <w:szCs w:val="32"/>
          <w:lang w:eastAsia="zh-CN"/>
        </w:rPr>
        <w:t>。</w:t>
      </w:r>
    </w:p>
    <w:p>
      <w:pPr>
        <w:tabs>
          <w:tab w:val="left" w:pos="941"/>
        </w:tabs>
        <w:spacing w:line="62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县监委对县人民代表大会及其常务委员会负责，并接受其监督。</w:t>
      </w:r>
    </w:p>
    <w:p>
      <w:pPr>
        <w:tabs>
          <w:tab w:val="left" w:pos="941"/>
        </w:tabs>
        <w:spacing w:line="62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kern w:val="0"/>
          <w:sz w:val="32"/>
          <w:szCs w:val="32"/>
        </w:rPr>
        <w:t>第三条</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县纪委监委的主要职责是：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负责全县党的纪律检查工作。贯彻落实党中央、中央纪委、省委、省纪委、州委、州纪委和县委关于纪律检查工作的决定，维护党的章程和其他党内法规，检查党的路线方针政策和决议的执行情况。协助县委推进全面从严治党、加强党风廉政建设和组织协调反腐败工作。</w:t>
      </w:r>
    </w:p>
    <w:p>
      <w:pPr>
        <w:ind w:firstLine="640" w:firstLineChars="200"/>
        <w:rPr>
          <w:rFonts w:hint="eastAsia" w:ascii="仿宋_GB2312" w:hAnsi="仿宋_GB2312" w:eastAsia="仿宋_GB2312" w:cs="仿宋_GB2312"/>
          <w:sz w:val="32"/>
          <w:szCs w:val="32"/>
        </w:rPr>
        <w:sectPr>
          <w:pgSz w:w="11906" w:h="16838"/>
          <w:pgMar w:top="1871" w:right="1587" w:bottom="1701" w:left="1587" w:header="851" w:footer="992" w:gutter="0"/>
          <w:pgNumType w:fmt="numberInDash" w:start="2"/>
          <w:cols w:space="720" w:num="1"/>
          <w:docGrid w:type="lines" w:linePitch="312" w:charSpace="0"/>
        </w:sect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依照党的章程和其他党内法规履行监督、</w:t>
      </w:r>
      <w:r>
        <w:rPr>
          <w:rFonts w:hint="eastAsia" w:ascii="仿宋_GB2312" w:hAnsi="仿宋_GB2312" w:eastAsia="仿宋_GB2312" w:cs="仿宋_GB2312"/>
          <w:sz w:val="32"/>
          <w:szCs w:val="32"/>
          <w:lang w:val="en-US" w:eastAsia="zh-CN"/>
        </w:rPr>
        <w:t>执</w:t>
      </w:r>
      <w:r>
        <w:rPr>
          <w:rFonts w:hint="eastAsia" w:ascii="仿宋_GB2312" w:hAnsi="仿宋_GB2312" w:eastAsia="仿宋_GB2312" w:cs="仿宋_GB2312"/>
          <w:sz w:val="32"/>
          <w:szCs w:val="32"/>
        </w:rPr>
        <w:t>纪、问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案件中的党员的处分；进行问责或者提出责任追究的建议；受理党员的控告和申诉；保障党员的权利。</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在州委巡察工作领导小组和县委的领导下组织开展巡察工作。配合县委巡察工作领导小组指导县委工作部门、县级国家机关部门党组（党委）、乡镇党委及行政村（社区）巡察工作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负责全县监察工作。彻落实党中央、中央纪委国家监委、省委、省纪委监委、州委、州纪委监委和县委关于监察工作的决定，维护宪法法律，依法对县委管理的行使公权力的公职人员进行监察，调查职务违法和职务犯罪，开展廉政建设和反腐败工作。统筹协调全县反腐败追逃追赃和防逃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依照法律规定履行监督、调查、处置职责。推动开展廉政教育，对县委管理的行使公权力的公职人员依法履职、秉公用权、洁从政从业以及道德操守情况进行监督检查；对涉贪污贿赂、滥用职权、玩忽职守，权力寻租、利益输送、私舞弊以及浪费国家资财等职务违法和职务犯军进行调查对违法的公职人员依法作出政务处分决定；对履行职责不力、失职失责的领导人员进行问；对涉职务犯罪的，将调查结果移送人民检察院依法审查、提起公诉；向监察对象所在单位提出监察建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负责组织协调全县全面从严治党、党风廉政建设和反腐败宣传教育工作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负责综合分析全县全面从严治党、党风廉政建设和反腐败工作情况，对纪检监察工作重要理论及实践问题进行调查研究；制定或者修改纪检监察规章制度，参与起草制定相关法规和规范性文件。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根据干部管理权限，负责全县纪检监察系统领导班子建设、干部队伍建设和组织建设的综合规划、政策研究、制度建设和业务指导；会同有关方面做好县委巡察机构、县纪委监委派驻（出）机构、乡镇纪委、县管企享业单位纪检监察机构</w:t>
      </w:r>
      <w:r>
        <w:rPr>
          <w:rFonts w:hint="eastAsia" w:ascii="仿宋_GB2312" w:hAnsi="仿宋_GB2312" w:eastAsia="仿宋_GB2312" w:cs="仿宋_GB2312"/>
          <w:sz w:val="32"/>
          <w:szCs w:val="32"/>
          <w:lang w:val="en-US" w:eastAsia="zh-CN"/>
        </w:rPr>
        <w:t>领导班子建设有关工作；组织和指导干部教育培训工作等。</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（九）完成州纪委监委和县委交办的其他任务。</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pPr>
        <w:tabs>
          <w:tab w:val="left" w:pos="941"/>
        </w:tabs>
        <w:spacing w:line="620" w:lineRule="exact"/>
        <w:ind w:firstLine="643"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bCs w:val="0"/>
          <w:kern w:val="0"/>
          <w:sz w:val="32"/>
          <w:szCs w:val="32"/>
          <w:lang w:val="en-US" w:eastAsia="zh-CN"/>
        </w:rPr>
        <w:t>第四条</w:t>
      </w:r>
      <w:r>
        <w:rPr>
          <w:rFonts w:hint="eastAsia" w:ascii="仿宋_GB2312" w:hAnsi="仿宋_GB2312" w:eastAsia="仿宋_GB2312" w:cs="仿宋_GB2312"/>
          <w:bCs/>
          <w:kern w:val="0"/>
          <w:sz w:val="32"/>
          <w:szCs w:val="32"/>
          <w:lang w:val="en-US" w:eastAsia="zh-CN"/>
        </w:rPr>
        <w:t xml:space="preserve">  县纪委监委机关高下列内设机构：</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（一）办公室。</w:t>
      </w:r>
      <w:r>
        <w:rPr>
          <w:rFonts w:hint="eastAsia" w:ascii="仿宋_GB2312" w:hAnsi="仿宋_GB2312" w:eastAsia="仿宋_GB2312" w:cs="仿宋_GB2312"/>
          <w:b w:val="0"/>
          <w:bCs w:val="0"/>
          <w:color w:val="000000"/>
          <w:sz w:val="32"/>
          <w:szCs w:val="32"/>
          <w:lang w:val="en-US" w:eastAsia="zh-CN"/>
        </w:rPr>
        <w:t>负责机关日常运转工作，负责县纪委全会、县纪委常委会暨县监委委务会、县纪委书记专题会议和其他重要会议、活动的筹备组织工作，组织协调机关调查研究工作，联系县纪委委员；汇总党风廉政建设和反腐败工作情况，组织起草机关有关文件文稿，编发通报和信息，审核制发公文；督促检查有关工作部署和领导批示批办事项的落实情况，组织协调县人大代表建议和县政协提案办理工作；协调落实机关保密工作，负责县纪委监委机关普通密码管理工作；统筹指导机关及派驻（出）机构档案管理工作；负责机关后勤保障服务、社会保障、机关及派驻（出）机构涉案款物保管等工作；负责机关对外联络接洽等工作；负责特约监察员工作；负责制定和组织实施全县纪检监察机关信息化及技术装各规划、计划；组织协调全县纪检监察机关计算机网络综合办公系统和业务应用系统建设；负责县纪委监委机关信息化和技术装备建设工作；建设监督和审查调查大数据平台，提供信息查询；负责综合分析全县全面从严治党、党风廉政建设和反腐败工作情况；开展政策理论及重大课题调查研究；负责提出全县纪检监察法规制度建设规划、计划和立法立规建议；起草、修改纪检监察法规制度，对机关有关部门起草的法规制度草案进行审核；负责纪检监察法规的咨询答复、解释指导、立法立规后评估、各案审查、清理、编纂等工作；负责全县纪检监察系统领导班子建设、干部队伍建设和组织建设的综合规划、政策研究、制度建设和业务指导；负责机关各部门及巡察机构、派驻机构干部人事工作，配合做好干部日常教育管理监督；会同有关方面，负责巡察机构、派驻（出）机构、乡镇纪委、县属企事业单位纪检监察领导班子建设：承办领导班子成员的提名、考察、任免等干部人事工作；负责组织和指导全县纪检监察系统、巡察机构的干部教育培训工作，会同有关方面承办全县纪检监察系统和巡察机构的表彰奖励工作；负责机关离退休干部（职工）管理服务工作。负责全县纪检监察系统和巡察机构意识形态工作；组织协调全县纪检监察系统全面从严治党、党风廉政建设和反腐败宣传教育以及廉政文化建设工作；负责机关新闻务及党风政建设和反腐败工作网络舆情信息收集、研判和处置工作；负责党章党规党纪、相关法律法规以及纪检监察政策理论和先进典型等宣传及舆论引导工作；组织协调全县预防腐败工作，负责县廉政教育基地建设，制作警示教育材料；负责县纪委监委理论学习中心组学习组织相关工作；负责委机关网站管理及新媒体管理维护工作。负责监督检查纪检监察系统干部遵守和执行党的章程及其他党内法规，遵守和执行党的路线方针政策及决议、国家法律法规等方面的情况；受理对县纪委监委机关、县委巡察机构、县纪委监委派驻机构科级及以上干部，县管企事业单位纪检监察机构领导班子成员，乡镇纪委书记涉嫌违反党纪、职务违法和职务犯罪等问题的举报，提出处置意见并负责问题线索谈话函询、初步核实及立案审查调查工作等。</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（二）党风政风监督室。</w:t>
      </w:r>
      <w:r>
        <w:rPr>
          <w:rFonts w:hint="eastAsia" w:ascii="仿宋_GB2312" w:hAnsi="仿宋_GB2312" w:eastAsia="仿宋_GB2312" w:cs="仿宋_GB2312"/>
          <w:b w:val="0"/>
          <w:bCs w:val="0"/>
          <w:color w:val="000000"/>
          <w:sz w:val="32"/>
          <w:szCs w:val="32"/>
          <w:lang w:val="en-US" w:eastAsia="zh-CN"/>
        </w:rPr>
        <w:t>负责综合协调贯彻执行党的路线方针政策和决议、国家法律法规等情况的监督检查；负责综合协调党的政治纪律和政治规矩执行；负责综合协调贯彻落实中央八项规定精神、纠正“四风”工作；负责综合协调整治群众身边和扶贫领域的腐败和作风问题；负责综合协调党内监督、党的问责等方面工作，推动管党治党政治责任落实；负责综合协调县纪委监委机关参与调查的事故、事件中涉及的监督对象违纪违法行为和需要间责情形的调查处理工作；综合分析党风政风监督工作情况，开展调查研究，提出工作建议；组织开展党风政风监督专项检查活动；指导全县纪检监察系统的党风政风监督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（三）信访室。</w:t>
      </w:r>
      <w:r>
        <w:rPr>
          <w:rFonts w:hint="eastAsia" w:ascii="仿宋_GB2312" w:hAnsi="仿宋_GB2312" w:eastAsia="仿宋_GB2312" w:cs="仿宋_GB2312"/>
          <w:b w:val="0"/>
          <w:bCs w:val="0"/>
          <w:color w:val="000000"/>
          <w:sz w:val="32"/>
          <w:szCs w:val="32"/>
          <w:lang w:val="en-US" w:eastAsia="zh-CN"/>
        </w:rPr>
        <w:t>负责受理对党的组织、党员违反党纪行为和对行使公权力的公职人员职务违法、职务犯罪行为等的检举、控告；归口受理对县委管理的党的组织和党员干部违反党纪、职务违法和职务犯罪行为等的信访举报，统一接收县纪委监委派驻机构和乡镇纪委报送的相关信访举报，分类摘要后将问题线索类信访举报移送相关室；受理党员对县纪委作出的党纪处分或者其他处理不服的申诉、监察对象对县监委作出的涉及本人的处理决定不服的复审申请；综合分析信访举报情况，为研判党风廉政建设和反腐败工作形势提供决策支撑和信息服务；接待群众来访，处理群众来信和电话网络举报事项等。</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（四）案件监督管理室（加挂县委反腐败协小组办公室牌子)。</w:t>
      </w:r>
      <w:r>
        <w:rPr>
          <w:rFonts w:hint="eastAsia" w:ascii="仿宋_GB2312" w:hAnsi="仿宋_GB2312" w:eastAsia="仿宋_GB2312" w:cs="仿宋_GB2312"/>
          <w:b w:val="0"/>
          <w:bCs w:val="0"/>
          <w:color w:val="000000"/>
          <w:sz w:val="32"/>
          <w:szCs w:val="32"/>
          <w:lang w:val="en-US" w:eastAsia="zh-CN"/>
        </w:rPr>
        <w:t>负责对监督检查、审查调查工作全过程进行监督管理，履行线索管理、组织协调、监督检查、督促办理、统计分析等职责；统一受理巡察机构和审计机关、行政执法机关、司法机关等单位移交的相关问题线索，实行集中管理、动态更新、定期汇总核对，提出分办意见并移交纪检监察室；统一受理乡镇纪委和县纪委监委派驻（出）机构线索处置和案件查办报告，分送有关部门；归口管理审查调查工作中与有关部门的联系协调项；对审查调查措施使用进行监督管理，对依纪依法安全办案情况进行监督检查；对报批的留置申请进行审查并办理相关手续，对留置报备材料进行查，对全县使用留置措施情况进行监督检查；负责建立和管理县管干部（包括县管纪检监察干部)廉政档案，协调办理县管干部任职前回复县委组织部意见工作；承担县委反腐败协调小组办公室日常工作和追逃追赃相关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（五）第一至第六纪检监察室。</w:t>
      </w:r>
      <w:r>
        <w:rPr>
          <w:rFonts w:hint="eastAsia" w:ascii="仿宋_GB2312" w:hAnsi="仿宋_GB2312" w:eastAsia="仿宋_GB2312" w:cs="仿宋_GB2312"/>
          <w:b w:val="0"/>
          <w:bCs w:val="0"/>
          <w:color w:val="000000"/>
          <w:sz w:val="32"/>
          <w:szCs w:val="32"/>
          <w:lang w:val="en-US" w:eastAsia="zh-CN"/>
        </w:rPr>
        <w:t>主要履行依纪依法监督执纪审查和调查处置的职责。监督检查联系乡镇、部门和单位领导班子及县管干部遵守和执行党的章程和其他党内法规，遵守和执行党的路线方针政策和决议、国家法律法规，推进全面从严治党，依法履职、秉公用权、廉洁从政从业以及道德操守等方面的情况；监督检查联系单位（乡镇）党组（党委）落实管党治党主体责任的情况，研究、分析和报告联系单位（乡镇）政治生态情况，指导、检查、督促（乡镇）纪委、派驻（出）机构落实纪检、监察责任，实施问责；承办应由县纪委监委机关参与调查的事故、事件中涉及的监督对象违纪违法行为和需要问责情形的调查处理工作，并向监察对象所在单位提出监察建议；综合分析研判问题线索、提出处置建议，对适用“四种形态”中第一种、第二种形态的，按程序开展谈话函询、初步核实工作，对适用第三种、第四种形态的，按程序移交案件监督管理室；负责联系派驻（出）机构的业务指导工作，协助组织部门做好考核工作；综合、协调、指导联系单位（乡镇）的纪检监察工作；承办涉严重违纪或者职务违法、职务犯罪问题线索的初步核实和立案审查调查，以及其他比较重要或者复杂案件的初步核实、审查调查，并提出处理建议；向监察对象所在单位提出监察建议；可以办理所辖监察机关管辖范围内的监察事项等。</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（六）案件审理室。</w:t>
      </w:r>
      <w:r>
        <w:rPr>
          <w:rFonts w:hint="eastAsia" w:ascii="仿宋_GB2312" w:hAnsi="仿宋_GB2312" w:eastAsia="仿宋_GB2312" w:cs="仿宋_GB2312"/>
          <w:b w:val="0"/>
          <w:bCs w:val="0"/>
          <w:color w:val="000000"/>
          <w:sz w:val="32"/>
          <w:szCs w:val="32"/>
          <w:lang w:val="en-US" w:eastAsia="zh-CN"/>
        </w:rPr>
        <w:t>负责审理县纪委监委直接审查调查、报县委和县纪委监委批准或备案的违反党纪和职务违法、职务犯罪案件，严格依规依纪依法提出处理或者处分意见；负责审理司法机关、行政执法机关移送县纪委监委需要追究党纪、政务责任的案件；承办党员对县纪委作出的党纪处分或者其他处理不服的申诉案件，监察对象对县监委作出的涉及本人处理决定不服的申请复审案件，以及其他需要由县纪委监委办理的申诉、复核案件；受理并处理申请国家赔偿亭宜；承办县纪委给予党纪处分人的回访考核和县监委给予政务处分的解除工作负责县监委调查的涉媒职务犯罪案件向检察机关移送起诉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第五条</w:t>
      </w:r>
      <w:r>
        <w:rPr>
          <w:rFonts w:hint="eastAsia" w:ascii="仿宋_GB2312" w:hAnsi="仿宋_GB2312" w:eastAsia="仿宋_GB2312" w:cs="仿宋_GB2312"/>
          <w:b w:val="0"/>
          <w:bCs w:val="0"/>
          <w:color w:val="000000"/>
          <w:sz w:val="32"/>
          <w:szCs w:val="32"/>
          <w:lang w:val="en-US" w:eastAsia="zh-CN"/>
        </w:rPr>
        <w:t xml:space="preserve">  县纪委监委机关行政编制20名，工勤编制4名。县纪委设书记1名、副书记2名、常委4名。设县监委主任1名（由县纪委书记兼任），副主任2名（由县纪委副书记兼任）委员4名，其中县纪委常委兼任2名。县纪委监委内设机构领导职数22名：其中各室主任11名（均为正科级），副主任11名（均为副科级）。</w:t>
      </w:r>
    </w:p>
    <w:p>
      <w:pPr>
        <w:spacing w:line="60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宋体"/>
          <w:kern w:val="0"/>
          <w:sz w:val="32"/>
          <w:szCs w:val="32"/>
          <w:lang w:val="en-US" w:eastAsia="zh-CN"/>
        </w:rPr>
        <w:t xml:space="preserve">第六条  </w:t>
      </w:r>
      <w:r>
        <w:rPr>
          <w:rFonts w:hint="eastAsia" w:ascii="仿宋_GB2312" w:hAnsi="仿宋_GB2312" w:eastAsia="仿宋_GB2312" w:cs="仿宋_GB2312"/>
          <w:b w:val="0"/>
          <w:bCs w:val="0"/>
          <w:color w:val="000000"/>
          <w:kern w:val="0"/>
          <w:sz w:val="32"/>
          <w:szCs w:val="32"/>
          <w:lang w:val="en-US" w:eastAsia="zh-CN" w:bidi="ar-SA"/>
        </w:rPr>
        <w:t>县纪委监委派驻机构和机关所属事业单位的设置、职责和编制事项另行规定。</w:t>
      </w:r>
    </w:p>
    <w:p>
      <w:pPr>
        <w:spacing w:line="600" w:lineRule="exact"/>
        <w:ind w:firstLine="643" w:firstLineChars="200"/>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第七条</w:t>
      </w:r>
      <w:r>
        <w:rPr>
          <w:rFonts w:hint="eastAsia" w:ascii="仿宋_GB2312" w:hAnsi="仿宋_GB2312" w:eastAsia="仿宋_GB2312" w:cs="仿宋_GB2312"/>
          <w:b w:val="0"/>
          <w:bCs w:val="0"/>
          <w:color w:val="000000"/>
          <w:kern w:val="0"/>
          <w:sz w:val="32"/>
          <w:szCs w:val="32"/>
          <w:lang w:val="en-US" w:eastAsia="zh-CN" w:bidi="ar-SA"/>
        </w:rPr>
        <w:t xml:space="preserve">  本规定具体解释工作由县委机构编制委员会办公室承担，其调整由县委机构编制委员会办公室按规定程序办理。</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三、部门/单位收支总体情况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按照预算管理有关规定，2024年部门（单位）收支包括机关预算和直属单位预算在内的汇总情况。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hint="eastAsia" w:ascii="仿宋_GB2312" w:hAnsi="仿宋" w:eastAsia="仿宋_GB2312" w:cs="宋体"/>
          <w:kern w:val="0"/>
          <w:sz w:val="32"/>
          <w:szCs w:val="32"/>
          <w:lang w:val="en-US" w:eastAsia="zh-CN"/>
        </w:rPr>
        <w:t>706.37</w:t>
      </w:r>
      <w:r>
        <w:rPr>
          <w:rFonts w:hint="eastAsia" w:ascii="仿宋_GB2312" w:hAnsi="仿宋" w:eastAsia="仿宋_GB2312" w:cs="宋体"/>
          <w:kern w:val="0"/>
          <w:sz w:val="32"/>
          <w:szCs w:val="32"/>
        </w:rPr>
        <w:t>万元。按照综合预算的原则，部门（单位）所有收入和支出均纳入部门预算管理。收入包括：一般公共预算拨款收入、政府性基金预算拨款收入、使用非财政拨款结余、上年结转；支出包括：一般公共服务支出、社会保障和就业支出、卫生健康支出、</w:t>
      </w:r>
      <w:r>
        <w:rPr>
          <w:rFonts w:hint="eastAsia" w:ascii="仿宋_GB2312" w:hAnsi="仿宋" w:eastAsia="仿宋_GB2312" w:cs="宋体"/>
          <w:kern w:val="0"/>
          <w:sz w:val="32"/>
          <w:szCs w:val="32"/>
          <w:lang w:val="en-US" w:eastAsia="zh-CN"/>
        </w:rPr>
        <w:t>纪检监察办案</w:t>
      </w:r>
      <w:r>
        <w:rPr>
          <w:rFonts w:hint="eastAsia" w:ascii="仿宋_GB2312" w:hAnsi="仿宋" w:eastAsia="仿宋_GB2312" w:cs="宋体"/>
          <w:kern w:val="0"/>
          <w:sz w:val="32"/>
          <w:szCs w:val="32"/>
        </w:rPr>
        <w:t>支出、</w:t>
      </w:r>
      <w:r>
        <w:rPr>
          <w:rFonts w:hint="eastAsia" w:ascii="仿宋_GB2312" w:hAnsi="仿宋" w:eastAsia="仿宋_GB2312" w:cs="宋体"/>
          <w:kern w:val="0"/>
          <w:sz w:val="32"/>
          <w:szCs w:val="32"/>
          <w:lang w:val="en-US" w:eastAsia="zh-CN"/>
        </w:rPr>
        <w:t>工资津补贴支出、</w:t>
      </w:r>
      <w:r>
        <w:rPr>
          <w:rFonts w:hint="eastAsia" w:ascii="仿宋_GB2312" w:hAnsi="仿宋" w:eastAsia="仿宋_GB2312" w:cs="宋体"/>
          <w:kern w:val="0"/>
          <w:sz w:val="32"/>
          <w:szCs w:val="32"/>
        </w:rPr>
        <w:t>住房</w:t>
      </w:r>
      <w:r>
        <w:rPr>
          <w:rFonts w:hint="eastAsia" w:ascii="仿宋_GB2312" w:hAnsi="仿宋" w:eastAsia="仿宋_GB2312" w:cs="宋体"/>
          <w:kern w:val="0"/>
          <w:sz w:val="32"/>
          <w:szCs w:val="32"/>
          <w:lang w:val="en-US" w:eastAsia="zh-CN"/>
        </w:rPr>
        <w:t>公积金</w:t>
      </w:r>
      <w:r>
        <w:rPr>
          <w:rFonts w:hint="eastAsia" w:ascii="仿宋_GB2312" w:hAnsi="仿宋" w:eastAsia="仿宋_GB2312" w:cs="宋体"/>
          <w:kern w:val="0"/>
          <w:sz w:val="32"/>
          <w:szCs w:val="32"/>
        </w:rPr>
        <w:t>支出、其他支出。</w:t>
      </w:r>
    </w:p>
    <w:p>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2024年收入预算</w:t>
      </w:r>
      <w:r>
        <w:rPr>
          <w:rFonts w:hint="eastAsia" w:ascii="仿宋_GB2312" w:hAnsi="仿宋" w:eastAsia="仿宋_GB2312" w:cs="宋体"/>
          <w:kern w:val="0"/>
          <w:sz w:val="32"/>
          <w:szCs w:val="32"/>
          <w:lang w:val="en-US" w:eastAsia="zh-CN"/>
        </w:rPr>
        <w:t>970.66</w:t>
      </w:r>
      <w:r>
        <w:rPr>
          <w:rFonts w:hint="eastAsia" w:ascii="仿宋_GB2312" w:hAnsi="仿宋" w:eastAsia="仿宋_GB2312"/>
          <w:sz w:val="32"/>
          <w:szCs w:val="32"/>
        </w:rPr>
        <w:t>万元（详见部门/单位预算公开表1,2）。包括：</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cs="宋体"/>
          <w:kern w:val="0"/>
          <w:sz w:val="32"/>
          <w:szCs w:val="32"/>
          <w:lang w:val="en-US" w:eastAsia="zh-CN"/>
        </w:rPr>
        <w:t>970.66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2024年支出预算</w:t>
      </w:r>
      <w:r>
        <w:rPr>
          <w:rFonts w:hint="eastAsia" w:ascii="仿宋_GB2312" w:hAnsi="仿宋" w:eastAsia="仿宋_GB2312" w:cs="宋体"/>
          <w:kern w:val="0"/>
          <w:sz w:val="32"/>
          <w:szCs w:val="32"/>
          <w:lang w:val="en-US" w:eastAsia="zh-CN"/>
        </w:rPr>
        <w:t>970.66</w:t>
      </w:r>
      <w:r>
        <w:rPr>
          <w:rFonts w:hint="eastAsia" w:ascii="仿宋_GB2312" w:hAnsi="仿宋" w:eastAsia="仿宋_GB2312"/>
          <w:sz w:val="32"/>
          <w:szCs w:val="32"/>
        </w:rPr>
        <w:t>万元（详见部门/单位预算公开表3）。</w:t>
      </w:r>
      <w:r>
        <w:rPr>
          <w:rStyle w:val="21"/>
          <w:rFonts w:hint="default" w:hAnsi="仿宋"/>
        </w:rPr>
        <w:t>其中：基本支出</w:t>
      </w:r>
      <w:r>
        <w:rPr>
          <w:rFonts w:hint="eastAsia" w:ascii="仿宋_GB2312" w:hAnsi="仿宋" w:eastAsia="仿宋_GB2312" w:cs="宋体"/>
          <w:kern w:val="0"/>
          <w:sz w:val="32"/>
          <w:szCs w:val="32"/>
          <w:lang w:val="en-US" w:eastAsia="zh-CN"/>
        </w:rPr>
        <w:t>970.66</w:t>
      </w:r>
      <w:r>
        <w:rPr>
          <w:rStyle w:val="21"/>
          <w:rFonts w:hint="default" w:hAnsi="仿宋"/>
        </w:rPr>
        <w:t>万元，占</w:t>
      </w:r>
      <w:r>
        <w:rPr>
          <w:rStyle w:val="21"/>
          <w:rFonts w:hint="eastAsia" w:hAnsi="仿宋" w:eastAsia="仿宋_GB2312"/>
          <w:lang w:val="en-US" w:eastAsia="zh-CN"/>
        </w:rPr>
        <w:t>100</w:t>
      </w:r>
      <w:r>
        <w:rPr>
          <w:rStyle w:val="22"/>
          <w:rFonts w:hint="eastAsia" w:ascii="仿宋_GB2312" w:hAnsi="仿宋" w:eastAsia="仿宋_GB2312"/>
        </w:rPr>
        <w:t>%</w:t>
      </w:r>
      <w:r>
        <w:rPr>
          <w:rStyle w:val="21"/>
          <w:rFonts w:hint="default" w:hAnsi="仿宋"/>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Style w:val="22"/>
          <w:rFonts w:hint="eastAsia" w:ascii="仿宋_GB2312" w:hAnsi="仿宋" w:eastAsia="仿宋_GB2312"/>
        </w:rPr>
        <w:t xml:space="preserve">2024 </w:t>
      </w:r>
      <w:r>
        <w:rPr>
          <w:rStyle w:val="21"/>
          <w:rFonts w:hint="default" w:hAnsi="仿宋"/>
        </w:rPr>
        <w:t>年一般公共预算当年支出</w:t>
      </w:r>
      <w:r>
        <w:rPr>
          <w:rFonts w:hint="eastAsia" w:ascii="仿宋_GB2312" w:hAnsi="仿宋" w:eastAsia="仿宋_GB2312" w:cs="宋体"/>
          <w:kern w:val="0"/>
          <w:sz w:val="32"/>
          <w:szCs w:val="32"/>
          <w:lang w:val="en-US" w:eastAsia="zh-CN"/>
        </w:rPr>
        <w:t>970.66</w:t>
      </w:r>
      <w:r>
        <w:rPr>
          <w:rStyle w:val="21"/>
          <w:rFonts w:hint="default" w:hAnsi="仿宋"/>
        </w:rPr>
        <w:t>万元，包括：一般公共服务支出</w:t>
      </w:r>
      <w:r>
        <w:rPr>
          <w:rStyle w:val="22"/>
          <w:rFonts w:hint="eastAsia" w:ascii="仿宋_GB2312" w:hAnsi="仿宋" w:eastAsia="仿宋_GB2312"/>
          <w:lang w:val="en-US" w:eastAsia="zh-CN"/>
        </w:rPr>
        <w:t>876.12</w:t>
      </w:r>
      <w:r>
        <w:rPr>
          <w:rStyle w:val="21"/>
          <w:rFonts w:hint="default" w:hAnsi="仿宋"/>
        </w:rPr>
        <w:t>万元、</w:t>
      </w:r>
      <w:r>
        <w:rPr>
          <w:rStyle w:val="21"/>
          <w:rFonts w:hint="eastAsia" w:hAnsi="仿宋" w:eastAsia="仿宋_GB2312"/>
          <w:lang w:val="en-US" w:eastAsia="zh-CN"/>
        </w:rPr>
        <w:t>纪检监察办案支出8.5万元、社会保障和就业</w:t>
      </w:r>
      <w:r>
        <w:rPr>
          <w:rFonts w:hint="eastAsia" w:ascii="仿宋_GB2312" w:hAnsi="仿宋" w:eastAsia="仿宋_GB2312" w:cs="宋体"/>
          <w:kern w:val="0"/>
          <w:sz w:val="32"/>
          <w:szCs w:val="32"/>
          <w:lang w:val="en-US" w:eastAsia="zh-CN"/>
        </w:rPr>
        <w:t>支出86.04万元</w:t>
      </w:r>
      <w:r>
        <w:rPr>
          <w:rStyle w:val="21"/>
          <w:rFonts w:hint="default" w:hAnsi="仿宋"/>
        </w:rPr>
        <w:t>。</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（详见部门（单位）预算公开表4,5,6,7）</w:t>
      </w:r>
      <w:r>
        <w:rPr>
          <w:rFonts w:hint="eastAsia" w:ascii="仿宋_GB2312" w:hAnsi="仿宋" w:eastAsia="仿宋_GB2312"/>
          <w:sz w:val="32"/>
          <w:szCs w:val="32"/>
        </w:rPr>
        <w:t>：</w:t>
      </w:r>
    </w:p>
    <w:p>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pPr>
        <w:widowControl/>
        <w:spacing w:line="640" w:lineRule="exact"/>
        <w:ind w:firstLine="640" w:firstLineChars="200"/>
        <w:contextualSpacing/>
        <w:jc w:val="left"/>
        <w:rPr>
          <w:rFonts w:hint="eastAsia" w:ascii="仿宋_GB2312" w:hAnsi="仿宋" w:eastAsia="仿宋_GB2312"/>
          <w:sz w:val="32"/>
          <w:szCs w:val="32"/>
          <w:lang w:val="en-US" w:eastAsia="zh-CN"/>
        </w:rPr>
      </w:pPr>
      <w:r>
        <w:rPr>
          <w:rFonts w:hint="eastAsia" w:ascii="仿宋_GB2312" w:hAnsi="仿宋" w:eastAsia="仿宋_GB2312"/>
          <w:sz w:val="32"/>
          <w:szCs w:val="32"/>
        </w:rPr>
        <w:t>2024年基本支出</w:t>
      </w:r>
      <w:r>
        <w:rPr>
          <w:rFonts w:hint="eastAsia" w:ascii="仿宋_GB2312" w:hAnsi="仿宋" w:eastAsia="仿宋_GB2312" w:cs="宋体"/>
          <w:kern w:val="0"/>
          <w:sz w:val="32"/>
          <w:szCs w:val="32"/>
          <w:lang w:val="en-US" w:eastAsia="zh-CN"/>
        </w:rPr>
        <w:t>970.66</w:t>
      </w:r>
      <w:r>
        <w:rPr>
          <w:rFonts w:hint="eastAsia" w:ascii="仿宋_GB2312" w:hAnsi="仿宋" w:eastAsia="仿宋_GB2312"/>
          <w:sz w:val="32"/>
          <w:szCs w:val="32"/>
        </w:rPr>
        <w:t>万元，比2023年预算增加</w:t>
      </w:r>
      <w:r>
        <w:rPr>
          <w:rFonts w:hint="eastAsia" w:ascii="仿宋_GB2312" w:hAnsi="仿宋" w:eastAsia="仿宋_GB2312"/>
          <w:sz w:val="32"/>
          <w:szCs w:val="32"/>
          <w:lang w:val="en-US" w:eastAsia="zh-CN"/>
        </w:rPr>
        <w:t>46.04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w:t>
      </w:r>
      <w:r>
        <w:rPr>
          <w:rFonts w:hint="eastAsia" w:ascii="仿宋_GB2312" w:hAnsi="仿宋" w:eastAsia="仿宋_GB2312"/>
          <w:sz w:val="32"/>
          <w:szCs w:val="32"/>
        </w:rPr>
        <w:t>%，增长的主要原因是</w:t>
      </w:r>
      <w:r>
        <w:rPr>
          <w:rFonts w:hint="eastAsia" w:ascii="仿宋_GB2312" w:hAnsi="仿宋" w:eastAsia="仿宋_GB2312"/>
          <w:sz w:val="32"/>
          <w:szCs w:val="32"/>
          <w:lang w:val="en-US" w:eastAsia="zh-CN"/>
        </w:rPr>
        <w:t>将上年结转、考核奖、年终奖金、车补基本支出费用等纳入预算。</w:t>
      </w:r>
    </w:p>
    <w:p>
      <w:pPr>
        <w:widowControl/>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其中：人员经费支出</w:t>
      </w:r>
      <w:r>
        <w:rPr>
          <w:rFonts w:hint="eastAsia" w:ascii="仿宋_GB2312" w:hAnsi="仿宋" w:eastAsia="仿宋_GB2312"/>
          <w:sz w:val="32"/>
          <w:szCs w:val="32"/>
          <w:lang w:val="en-US" w:eastAsia="zh-CN"/>
        </w:rPr>
        <w:t>798.64</w:t>
      </w:r>
      <w:r>
        <w:rPr>
          <w:rFonts w:hint="eastAsia" w:ascii="仿宋_GB2312" w:hAnsi="仿宋" w:eastAsia="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公用经费支出</w:t>
      </w:r>
      <w:r>
        <w:rPr>
          <w:rFonts w:hint="eastAsia" w:ascii="仿宋_GB2312" w:hAnsi="仿宋" w:eastAsia="仿宋_GB2312"/>
          <w:sz w:val="32"/>
          <w:szCs w:val="32"/>
          <w:lang w:val="en-US" w:eastAsia="zh-CN"/>
        </w:rPr>
        <w:t>163.52</w:t>
      </w:r>
      <w:r>
        <w:rPr>
          <w:rFonts w:hint="eastAsia" w:ascii="仿宋_GB2312" w:hAnsi="仿宋" w:eastAsia="仿宋_GB2312"/>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2023年度中央转移支付资金8.5万元，主要用于纪检监察工作内网建设、信息化建设、办公设备购置等。</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2024年一般公共预算财政拨款项目支出预算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 w:eastAsia="仿宋_GB2312"/>
          <w:sz w:val="32"/>
          <w:szCs w:val="32"/>
          <w:lang w:val="en-US" w:eastAsia="zh-CN"/>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pPr>
        <w:widowControl/>
        <w:adjustRightInd w:val="0"/>
        <w:snapToGrid w:val="0"/>
        <w:spacing w:line="640" w:lineRule="exact"/>
        <w:ind w:firstLine="640" w:firstLineChars="200"/>
        <w:contextualSpacing/>
        <w:jc w:val="left"/>
        <w:rPr>
          <w:rFonts w:ascii="仿宋_GB2312" w:eastAsia="仿宋_GB2312"/>
          <w:color w:val="000000"/>
          <w:sz w:val="32"/>
          <w:szCs w:val="32"/>
        </w:rPr>
      </w:pPr>
      <w:r>
        <w:rPr>
          <w:rFonts w:hint="eastAsia" w:ascii="仿宋_GB2312" w:hAnsi="TimesNewRomanPS-BoldMT" w:eastAsia="仿宋_GB2312"/>
          <w:bCs/>
          <w:color w:val="000000"/>
          <w:sz w:val="32"/>
          <w:szCs w:val="32"/>
        </w:rPr>
        <w:t>1.</w:t>
      </w:r>
      <w:r>
        <w:rPr>
          <w:rFonts w:hint="eastAsia" w:ascii="仿宋_GB2312" w:eastAsia="仿宋_GB2312"/>
          <w:color w:val="000000"/>
          <w:sz w:val="32"/>
          <w:szCs w:val="32"/>
        </w:rPr>
        <w:t>一般公共服务</w:t>
      </w:r>
      <w:r>
        <w:rPr>
          <w:rFonts w:hint="eastAsia" w:ascii="仿宋_GB2312" w:eastAsia="仿宋_GB2312"/>
          <w:color w:val="000000"/>
          <w:sz w:val="32"/>
          <w:szCs w:val="32"/>
          <w:lang w:val="en-US" w:eastAsia="zh-CN"/>
        </w:rPr>
        <w:t>行政运行</w:t>
      </w:r>
      <w:r>
        <w:rPr>
          <w:rFonts w:hint="eastAsia" w:ascii="仿宋_GB2312" w:hAnsi="TimesNewRomanPSMT" w:eastAsia="仿宋_GB2312"/>
          <w:color w:val="000000"/>
          <w:sz w:val="32"/>
          <w:szCs w:val="32"/>
        </w:rPr>
        <w:t xml:space="preserve">2024 </w:t>
      </w:r>
      <w:r>
        <w:rPr>
          <w:rFonts w:hint="eastAsia" w:ascii="仿宋_GB2312" w:eastAsia="仿宋_GB2312"/>
          <w:color w:val="000000"/>
          <w:sz w:val="32"/>
          <w:szCs w:val="32"/>
        </w:rPr>
        <w:t>年预算数为</w:t>
      </w:r>
      <w:r>
        <w:rPr>
          <w:rFonts w:hint="eastAsia" w:ascii="仿宋_GB2312" w:hAnsi="TimesNewRomanPSMT" w:eastAsia="仿宋_GB2312"/>
          <w:color w:val="000000"/>
          <w:sz w:val="32"/>
          <w:szCs w:val="32"/>
          <w:lang w:val="en-US" w:eastAsia="zh-CN"/>
        </w:rPr>
        <w:t>876.12</w:t>
      </w:r>
      <w:r>
        <w:rPr>
          <w:rFonts w:hint="eastAsia" w:ascii="仿宋_GB2312" w:eastAsia="仿宋_GB2312"/>
          <w:color w:val="000000"/>
          <w:sz w:val="32"/>
          <w:szCs w:val="32"/>
        </w:rPr>
        <w:t xml:space="preserve">万元， 比 </w:t>
      </w:r>
      <w:r>
        <w:rPr>
          <w:rFonts w:hint="eastAsia" w:ascii="仿宋_GB2312" w:hAnsi="TimesNewRomanPSMT" w:eastAsia="仿宋_GB2312"/>
          <w:color w:val="000000"/>
          <w:sz w:val="32"/>
          <w:szCs w:val="32"/>
        </w:rPr>
        <w:t xml:space="preserve">2023 </w:t>
      </w:r>
      <w:r>
        <w:rPr>
          <w:rFonts w:hint="eastAsia" w:ascii="仿宋_GB2312" w:eastAsia="仿宋_GB2312"/>
          <w:color w:val="000000"/>
          <w:sz w:val="32"/>
          <w:szCs w:val="32"/>
        </w:rPr>
        <w:t>年预算增加</w:t>
      </w:r>
      <w:r>
        <w:rPr>
          <w:rFonts w:hint="eastAsia" w:ascii="仿宋_GB2312" w:eastAsia="仿宋_GB2312"/>
          <w:color w:val="000000"/>
          <w:sz w:val="32"/>
          <w:szCs w:val="32"/>
          <w:lang w:val="en-US" w:eastAsia="zh-CN"/>
        </w:rPr>
        <w:t>46.04</w:t>
      </w:r>
      <w:r>
        <w:rPr>
          <w:rFonts w:hint="eastAsia" w:ascii="仿宋_GB2312" w:eastAsia="仿宋_GB2312"/>
          <w:color w:val="000000"/>
          <w:sz w:val="32"/>
          <w:szCs w:val="32"/>
        </w:rPr>
        <w:t>万元， 主要原因是</w:t>
      </w:r>
      <w:r>
        <w:rPr>
          <w:rFonts w:hint="eastAsia" w:ascii="仿宋_GB2312" w:hAnsi="仿宋" w:eastAsia="仿宋_GB2312"/>
          <w:sz w:val="32"/>
          <w:szCs w:val="32"/>
          <w:lang w:val="en-US" w:eastAsia="zh-CN"/>
        </w:rPr>
        <w:t>将纪检监察办案费、考核奖、年终奖金、车补基本支出费用等纳入预算。</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rPr>
        <w:t>2.</w:t>
      </w:r>
      <w:r>
        <w:rPr>
          <w:rFonts w:hint="eastAsia" w:ascii="仿宋_GB2312" w:hAnsi="仿宋" w:eastAsia="仿宋_GB2312"/>
          <w:sz w:val="32"/>
          <w:szCs w:val="32"/>
          <w:lang w:val="en-US" w:eastAsia="zh-CN"/>
        </w:rPr>
        <w:t>2023年度中央转移支付资金8.5万元，比2023年增长8.5万元，</w:t>
      </w:r>
      <w:r>
        <w:rPr>
          <w:rFonts w:hint="eastAsia" w:ascii="仿宋_GB2312" w:eastAsia="仿宋_GB2312"/>
          <w:color w:val="000000"/>
          <w:sz w:val="32"/>
          <w:szCs w:val="32"/>
          <w:lang w:val="en-US" w:eastAsia="zh-CN"/>
        </w:rPr>
        <w:t>原因是2023年未纳入预算统计范围并未拨付。</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w:t>
      </w:r>
      <w:r>
        <w:rPr>
          <w:rFonts w:hint="eastAsia" w:ascii="仿宋_GB2312" w:hAnsi="仿宋" w:eastAsia="仿宋_GB2312"/>
          <w:sz w:val="32"/>
          <w:szCs w:val="32"/>
          <w:lang w:val="en-US" w:eastAsia="zh-CN"/>
        </w:rPr>
        <w:t>减少10</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1.因公出国（境）费用</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2.公务接待费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3.公务用车购置及运行维护费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万元（其中：公务用车购置</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万元，公务用车运行维护费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w:t>
      </w:r>
      <w:r>
        <w:rPr>
          <w:rFonts w:hint="eastAsia" w:ascii="仿宋_GB2312" w:hAnsi="仿宋" w:eastAsia="仿宋_GB2312"/>
          <w:sz w:val="32"/>
          <w:szCs w:val="32"/>
          <w:lang w:val="en-US" w:eastAsia="zh-CN"/>
        </w:rPr>
        <w:t>增加15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下降15</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的主要是</w:t>
      </w:r>
      <w:r>
        <w:rPr>
          <w:rFonts w:hint="eastAsia" w:ascii="仿宋_GB2312" w:hAnsi="仿宋" w:eastAsia="仿宋_GB2312"/>
          <w:sz w:val="32"/>
          <w:szCs w:val="32"/>
          <w:lang w:val="en-US" w:eastAsia="zh-CN"/>
        </w:rPr>
        <w:t>未列公务用车运行经费</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w:t>
      </w:r>
      <w:r>
        <w:rPr>
          <w:rFonts w:hint="eastAsia" w:ascii="仿宋_GB2312" w:hAnsi="仿宋" w:eastAsia="仿宋_GB2312"/>
          <w:sz w:val="32"/>
          <w:szCs w:val="32"/>
          <w:lang w:val="en-US" w:eastAsia="zh-CN"/>
        </w:rPr>
        <w:t>153</w:t>
      </w:r>
      <w:r>
        <w:rPr>
          <w:rFonts w:hint="eastAsia" w:ascii="仿宋_GB2312" w:hAnsi="仿宋" w:eastAsia="仿宋_GB2312"/>
          <w:sz w:val="32"/>
          <w:szCs w:val="32"/>
        </w:rPr>
        <w:t>万元，较2023年预算</w:t>
      </w:r>
      <w:r>
        <w:rPr>
          <w:rFonts w:hint="eastAsia" w:ascii="仿宋_GB2312" w:hAnsi="仿宋" w:eastAsia="仿宋_GB2312"/>
          <w:sz w:val="32"/>
          <w:szCs w:val="32"/>
          <w:lang w:val="en-US" w:eastAsia="zh-CN"/>
        </w:rPr>
        <w:t>增加8.81</w:t>
      </w:r>
      <w:r>
        <w:rPr>
          <w:rFonts w:hint="eastAsia" w:ascii="仿宋_GB2312" w:hAnsi="仿宋" w:eastAsia="仿宋_GB2312"/>
          <w:sz w:val="32"/>
          <w:szCs w:val="32"/>
        </w:rPr>
        <w:t>万元，</w:t>
      </w:r>
      <w:r>
        <w:rPr>
          <w:rFonts w:hint="eastAsia" w:ascii="仿宋_GB2312" w:eastAsia="仿宋_GB2312"/>
          <w:color w:val="000000"/>
          <w:sz w:val="32"/>
          <w:szCs w:val="32"/>
        </w:rPr>
        <w:t xml:space="preserve"> 主要原因是</w:t>
      </w:r>
      <w:r>
        <w:rPr>
          <w:rFonts w:hint="eastAsia" w:ascii="仿宋_GB2312" w:hAnsi="仿宋" w:eastAsia="仿宋_GB2312"/>
          <w:sz w:val="32"/>
          <w:szCs w:val="32"/>
          <w:lang w:val="en-US" w:eastAsia="zh-CN"/>
        </w:rPr>
        <w:t>将纪检监察办案费、考核奖、年终奖金、车补基本支出费用等纳入预算。</w:t>
      </w:r>
    </w:p>
    <w:p>
      <w:pPr>
        <w:adjustRightInd w:val="0"/>
        <w:snapToGrid w:val="0"/>
        <w:spacing w:line="640" w:lineRule="exact"/>
        <w:ind w:firstLine="640" w:firstLineChars="200"/>
        <w:contextualSpacing/>
        <w:rPr>
          <w:rFonts w:hint="eastAsia" w:ascii="黑体" w:hAnsi="黑体" w:eastAsia="黑体" w:cs="宋体"/>
          <w:kern w:val="0"/>
          <w:sz w:val="32"/>
          <w:szCs w:val="32"/>
        </w:rPr>
      </w:pPr>
      <w:r>
        <w:rPr>
          <w:rFonts w:hint="eastAsia" w:ascii="黑体" w:hAnsi="黑体" w:eastAsia="黑体" w:cs="宋体"/>
          <w:kern w:val="0"/>
          <w:sz w:val="32"/>
          <w:szCs w:val="32"/>
        </w:rPr>
        <w:t>七、政府采购安排情况</w:t>
      </w:r>
    </w:p>
    <w:p>
      <w:pPr>
        <w:adjustRightInd w:val="0"/>
        <w:snapToGrid w:val="0"/>
        <w:spacing w:line="64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2024年，部门（单位）政府采购预算总额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万元，其中：政府采购货物预算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    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2024年，部门（单位）面向中小企业预留政府采购项目预算金额  万元，小微企业预留政府采购项目预算金额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color w:val="auto"/>
          <w:kern w:val="0"/>
          <w:sz w:val="32"/>
          <w:szCs w:val="32"/>
        </w:rPr>
      </w:pPr>
      <w:r>
        <w:rPr>
          <w:rFonts w:hint="eastAsia" w:ascii="黑体" w:hAnsi="黑体" w:eastAsia="黑体" w:cs="宋体"/>
          <w:color w:val="auto"/>
          <w:kern w:val="0"/>
          <w:sz w:val="32"/>
          <w:szCs w:val="32"/>
        </w:rPr>
        <w:t>八、国有资产占用情况</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lang w:val="en-US" w:eastAsia="zh-CN"/>
        </w:rPr>
        <w:t>415.28</w:t>
      </w:r>
      <w:r>
        <w:rPr>
          <w:rFonts w:hint="eastAsia" w:ascii="仿宋_GB2312" w:hAnsi="仿宋" w:eastAsia="仿宋_GB2312"/>
          <w:sz w:val="32"/>
          <w:szCs w:val="32"/>
        </w:rPr>
        <w:t>万元。</w:t>
      </w:r>
      <w:r>
        <w:rPr>
          <w:rFonts w:hint="eastAsia" w:ascii="仿宋_GB2312" w:hAnsi="微软雅黑" w:eastAsia="仿宋_GB2312"/>
          <w:sz w:val="28"/>
          <w:szCs w:val="28"/>
        </w:rPr>
        <w:t>202</w:t>
      </w:r>
      <w:r>
        <w:rPr>
          <w:rFonts w:hint="eastAsia" w:ascii="仿宋_GB2312" w:hAnsi="微软雅黑" w:eastAsia="仿宋_GB2312"/>
          <w:sz w:val="28"/>
          <w:szCs w:val="28"/>
          <w:lang w:val="en-US" w:eastAsia="zh-CN"/>
        </w:rPr>
        <w:t>4</w:t>
      </w:r>
      <w:r>
        <w:rPr>
          <w:rFonts w:hint="eastAsia" w:ascii="仿宋_GB2312" w:hAnsi="微软雅黑" w:eastAsia="仿宋_GB2312"/>
          <w:sz w:val="28"/>
          <w:szCs w:val="28"/>
        </w:rPr>
        <w:t>年拟采购固定资产</w:t>
      </w:r>
      <w:r>
        <w:rPr>
          <w:rFonts w:hint="eastAsia" w:ascii="仿宋_GB2312" w:hAnsi="微软雅黑" w:eastAsia="仿宋_GB2312"/>
          <w:sz w:val="28"/>
          <w:szCs w:val="28"/>
          <w:lang w:val="en-US" w:eastAsia="zh-CN"/>
        </w:rPr>
        <w:t>10</w:t>
      </w:r>
      <w:r>
        <w:rPr>
          <w:rFonts w:hint="eastAsia" w:ascii="仿宋_GB2312" w:hAnsi="微软雅黑" w:eastAsia="仿宋_GB2312"/>
          <w:sz w:val="28"/>
          <w:szCs w:val="28"/>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bookmarkStart w:id="0" w:name="_GoBack"/>
      <w:bookmarkEnd w:id="0"/>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未安排预算，政府性基金预算支出情况表为空表。</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本部门/单位2024年</w:t>
      </w:r>
      <w:r>
        <w:rPr>
          <w:rFonts w:ascii="仿宋_GB2312" w:hAnsi="仿宋" w:eastAsia="仿宋_GB2312"/>
          <w:sz w:val="32"/>
          <w:szCs w:val="32"/>
        </w:rPr>
        <w:t>无非税收入</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本部门/单位年初预算未安排项目支出，无重点项目说明。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val="en-US" w:eastAsia="zh-CN"/>
        </w:rPr>
        <w:t>四</w:t>
      </w:r>
      <w:r>
        <w:rPr>
          <w:rFonts w:hint="eastAsia" w:ascii="楷体_GB2312" w:hAnsi="楷体" w:eastAsia="楷体_GB2312" w:cs="宋体"/>
          <w:b/>
          <w:bCs/>
          <w:kern w:val="0"/>
          <w:sz w:val="32"/>
          <w:szCs w:val="32"/>
        </w:rPr>
        <w:t>）国有资本经营预算支出情况</w:t>
      </w:r>
    </w:p>
    <w:p>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未安排预算，国有资本经营预算支出情况表为空表。</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部门/单位</w:t>
      </w:r>
      <w:r>
        <w:rPr>
          <w:rFonts w:hint="eastAsia" w:ascii="仿宋_GB2312" w:hAnsi="仿宋" w:eastAsia="仿宋_GB2312"/>
          <w:sz w:val="32"/>
          <w:szCs w:val="32"/>
        </w:rPr>
        <w:t>整体支出和项目绩效目标   个，按规定随年度预算一并公开项目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个，公开率为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2023年7月，组织开展1-6月绩效运行监控项目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w:t>
      </w:r>
      <w:r>
        <w:rPr>
          <w:rFonts w:hint="eastAsia" w:ascii="仿宋_GB2312" w:hAnsi="CIDFont+F6" w:eastAsia="仿宋_GB2312"/>
          <w:color w:val="000000"/>
          <w:sz w:val="32"/>
          <w:szCs w:val="32"/>
        </w:rPr>
        <w:t>部门/单位</w:t>
      </w:r>
      <w:r>
        <w:rPr>
          <w:rFonts w:hint="eastAsia" w:ascii="仿宋_GB2312" w:hAnsi="仿宋" w:eastAsia="仿宋_GB2312"/>
          <w:sz w:val="32"/>
          <w:szCs w:val="32"/>
        </w:rPr>
        <w:t>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%。截至7月底，如期完成预算执行和绩效目标指标值的项目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%。“双监控”发现存在的问题和主要原因是：</w:t>
      </w:r>
      <w:r>
        <w:rPr>
          <w:rFonts w:hint="eastAsia" w:ascii="仿宋_GB2312" w:hAnsi="仿宋" w:eastAsia="仿宋_GB2312"/>
          <w:sz w:val="32"/>
          <w:szCs w:val="32"/>
          <w:lang w:val="en-US" w:eastAsia="zh-CN"/>
        </w:rPr>
        <w:t>公用经费绩效评价不够全面</w:t>
      </w:r>
      <w:r>
        <w:rPr>
          <w:rFonts w:hint="eastAsia" w:ascii="仿宋_GB2312" w:hAnsi="仿宋" w:eastAsia="仿宋_GB2312"/>
          <w:sz w:val="32"/>
          <w:szCs w:val="32"/>
        </w:rPr>
        <w:t>。开展1-9月绩效运行监控项目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个，占本部门（单位）项目的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%。截至10月底，如期完成预算执行和绩效目标指标值的项目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%。“双监控”发现存在的问题和主要原因是：</w:t>
      </w:r>
      <w:r>
        <w:rPr>
          <w:rFonts w:hint="eastAsia" w:ascii="仿宋_GB2312" w:hAnsi="仿宋" w:eastAsia="仿宋_GB2312"/>
          <w:sz w:val="32"/>
          <w:szCs w:val="32"/>
          <w:lang w:val="en-US" w:eastAsia="zh-CN"/>
        </w:rPr>
        <w:t>基本支出绩效评价不够全面</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2023年度，组织开展绩效自评项目共</w:t>
      </w:r>
      <w:r>
        <w:rPr>
          <w:rFonts w:hint="eastAsia" w:ascii="仿宋_GB2312" w:hAnsi="仿宋" w:eastAsia="仿宋_GB2312"/>
          <w:sz w:val="32"/>
          <w:szCs w:val="32"/>
          <w:lang w:val="en-US" w:eastAsia="zh-CN"/>
        </w:rPr>
        <w:t>11</w:t>
      </w:r>
      <w:r>
        <w:rPr>
          <w:rFonts w:hint="eastAsia" w:ascii="仿宋_GB2312" w:hAnsi="仿宋" w:eastAsia="仿宋_GB2312"/>
          <w:sz w:val="32"/>
          <w:szCs w:val="32"/>
        </w:rPr>
        <w:t>个，其中，部门（单位）整体支出</w:t>
      </w:r>
      <w:r>
        <w:rPr>
          <w:rFonts w:hint="eastAsia" w:ascii="仿宋_GB2312" w:hAnsi="仿宋" w:eastAsia="仿宋_GB2312"/>
          <w:sz w:val="32"/>
          <w:szCs w:val="32"/>
          <w:lang w:val="en-US" w:eastAsia="zh-CN"/>
        </w:rPr>
        <w:t>11</w:t>
      </w:r>
      <w:r>
        <w:rPr>
          <w:rFonts w:hint="eastAsia" w:ascii="仿宋_GB2312" w:hAnsi="仿宋" w:eastAsia="仿宋_GB2312"/>
          <w:sz w:val="32"/>
          <w:szCs w:val="32"/>
        </w:rPr>
        <w:t xml:space="preserve"> 个，项目支出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个，转移支付项目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个，绩效自评覆盖率为</w:t>
      </w:r>
      <w:r>
        <w:rPr>
          <w:rFonts w:hint="eastAsia" w:ascii="仿宋_GB2312" w:hAnsi="仿宋" w:eastAsia="仿宋_GB2312"/>
          <w:sz w:val="32"/>
          <w:szCs w:val="32"/>
          <w:lang w:val="en-US" w:eastAsia="zh-CN"/>
        </w:rPr>
        <w:t>0</w:t>
      </w:r>
      <w:r>
        <w:rPr>
          <w:rFonts w:hint="eastAsia" w:ascii="仿宋_GB2312" w:hAnsi="仿宋" w:eastAsia="仿宋_GB2312"/>
          <w:sz w:val="32"/>
          <w:szCs w:val="32"/>
        </w:rPr>
        <w:t>%。绩效自评结果随部门决算报送财政和随决算公开情况：</w:t>
      </w:r>
      <w:r>
        <w:rPr>
          <w:rFonts w:hint="eastAsia" w:ascii="仿宋_GB2312" w:hAnsi="仿宋" w:eastAsia="仿宋_GB2312"/>
          <w:sz w:val="32"/>
          <w:szCs w:val="32"/>
          <w:lang w:val="en-US" w:eastAsia="zh-CN"/>
        </w:rPr>
        <w:t>已完成</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万元，2024年度增加（减少）部门预算项目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个，增长率/压减率</w:t>
      </w:r>
      <w:r>
        <w:rPr>
          <w:rFonts w:hint="eastAsia" w:ascii="仿宋_GB2312" w:hAnsi="仿宋" w:eastAsia="仿宋_GB2312"/>
          <w:sz w:val="32"/>
          <w:szCs w:val="32"/>
          <w:lang w:val="en-US" w:eastAsia="zh-CN"/>
        </w:rPr>
        <w:t>10</w:t>
      </w:r>
      <w:r>
        <w:rPr>
          <w:rFonts w:hint="eastAsia" w:ascii="仿宋_GB2312" w:hAnsi="仿宋" w:eastAsia="仿宋_GB2312"/>
          <w:sz w:val="32"/>
          <w:szCs w:val="32"/>
        </w:rPr>
        <w:t xml:space="preserve"> %。同时对政策和项目资金管理作出调整的   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2024年，纳入部门/单位预算绩效目标管理的项目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个。其中，部门整体支出绩效目标围绕部门管理、履职效果、能力建设三个维度，设置二级指标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个；项目支出绩效目标围绕成本指标、产出指标、效益指标、满意度指标四个维度，设置二级指标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个。各项绩效目标内容指向明确、细化量化、合理可行，符合规定的格式要求。</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ind w:right="1120"/>
        <w:contextualSpacing/>
        <w:jc w:val="right"/>
        <w:rPr>
          <w:rFonts w:hint="eastAsia" w:ascii="仿宋_GB2312" w:hAnsi="CIDFont+F6" w:eastAsia="仿宋_GB2312"/>
          <w:color w:val="000000"/>
          <w:sz w:val="32"/>
          <w:szCs w:val="32"/>
          <w:lang w:val="en-US" w:eastAsia="zh-CN"/>
        </w:rPr>
      </w:pPr>
      <w:r>
        <w:rPr>
          <w:rFonts w:hint="eastAsia" w:ascii="仿宋_GB2312" w:hAnsi="CIDFont+F6" w:eastAsia="仿宋_GB2312"/>
          <w:color w:val="000000"/>
          <w:sz w:val="32"/>
          <w:szCs w:val="32"/>
          <w:lang w:val="en-US" w:eastAsia="zh-CN"/>
        </w:rPr>
        <w:t>中共积石山县委办公室</w:t>
      </w:r>
    </w:p>
    <w:p>
      <w:pPr>
        <w:wordWrap w:val="0"/>
        <w:adjustRightInd w:val="0"/>
        <w:snapToGrid w:val="0"/>
        <w:spacing w:line="640" w:lineRule="exact"/>
        <w:ind w:right="1120"/>
        <w:contextualSpacing/>
        <w:jc w:val="right"/>
        <w:rPr>
          <w:rFonts w:hint="default" w:ascii="仿宋_GB2312" w:eastAsia="仿宋_GB2312"/>
          <w:sz w:val="32"/>
          <w:szCs w:val="32"/>
          <w:lang w:val="en-US" w:eastAsia="zh-CN"/>
        </w:rPr>
      </w:pPr>
      <w:r>
        <w:rPr>
          <w:rFonts w:hint="eastAsia" w:ascii="仿宋_GB2312" w:hAnsi="CIDFont+F6" w:eastAsia="仿宋_GB2312"/>
          <w:color w:val="000000"/>
          <w:sz w:val="32"/>
          <w:szCs w:val="32"/>
          <w:lang w:val="en-US" w:eastAsia="zh-CN"/>
        </w:rPr>
        <w:t>2024</w:t>
      </w:r>
      <w:r>
        <w:rPr>
          <w:rFonts w:hint="eastAsia" w:ascii="仿宋_GB2312" w:hAnsi="CIDFont+F6" w:eastAsia="仿宋_GB2312"/>
          <w:color w:val="000000"/>
          <w:sz w:val="32"/>
          <w:szCs w:val="32"/>
        </w:rPr>
        <w:t>年</w:t>
      </w:r>
      <w:r>
        <w:rPr>
          <w:rFonts w:hint="eastAsia" w:ascii="仿宋_GB2312" w:hAnsi="CIDFont+F6" w:eastAsia="仿宋_GB2312"/>
          <w:color w:val="000000"/>
          <w:sz w:val="32"/>
          <w:szCs w:val="32"/>
          <w:lang w:val="en-US" w:eastAsia="zh-CN"/>
        </w:rPr>
        <w:t>3</w:t>
      </w:r>
      <w:r>
        <w:rPr>
          <w:rFonts w:hint="eastAsia" w:ascii="仿宋_GB2312" w:hAnsi="CIDFont+F6" w:eastAsia="仿宋_GB2312"/>
          <w:color w:val="000000"/>
          <w:sz w:val="32"/>
          <w:szCs w:val="32"/>
        </w:rPr>
        <w:t>月</w:t>
      </w:r>
      <w:r>
        <w:rPr>
          <w:rFonts w:hint="eastAsia" w:ascii="仿宋_GB2312" w:hAnsi="CIDFont+F6" w:eastAsia="仿宋_GB2312"/>
          <w:color w:val="000000"/>
          <w:sz w:val="32"/>
          <w:szCs w:val="32"/>
          <w:lang w:val="en-US" w:eastAsia="zh-CN"/>
        </w:rPr>
        <w:t>7</w:t>
      </w:r>
      <w:r>
        <w:rPr>
          <w:rFonts w:hint="eastAsia" w:ascii="仿宋_GB2312" w:hAnsi="CIDFont+F6" w:eastAsia="仿宋_GB2312"/>
          <w:color w:val="000000"/>
          <w:sz w:val="32"/>
          <w:szCs w:val="32"/>
        </w:rPr>
        <w:t>日</w:t>
      </w:r>
      <w:r>
        <w:rPr>
          <w:rFonts w:hint="eastAsia" w:ascii="仿宋_GB2312" w:hAnsi="CIDFont+F6" w:eastAsia="仿宋_GB2312"/>
          <w:color w:val="000000"/>
          <w:sz w:val="32"/>
          <w:szCs w:val="32"/>
          <w:lang w:val="en-US" w:eastAsia="zh-CN"/>
        </w:rPr>
        <w:t xml:space="preserve">  </w:t>
      </w:r>
    </w:p>
    <w:p>
      <w:pPr>
        <w:adjustRightInd w:val="0"/>
        <w:snapToGrid w:val="0"/>
        <w:spacing w:line="640" w:lineRule="exact"/>
        <w:ind w:right="1120"/>
        <w:contextualSpacing/>
        <w:jc w:val="both"/>
        <w:rPr>
          <w:rFonts w:hint="eastAsia" w:ascii="仿宋_GB2312" w:hAnsi="宋体" w:eastAsia="仿宋_GB2312" w:cs="宋体"/>
          <w:kern w:val="0"/>
          <w:sz w:val="32"/>
          <w:szCs w:val="32"/>
        </w:rPr>
      </w:pPr>
    </w:p>
    <w:p>
      <w:pPr>
        <w:adjustRightInd w:val="0"/>
        <w:snapToGrid w:val="0"/>
        <w:spacing w:line="640" w:lineRule="exact"/>
        <w:ind w:right="1120"/>
        <w:contextualSpacing/>
        <w:jc w:val="both"/>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CIDFont+F6" w:eastAsia="仿宋_GB2312"/>
          <w:color w:val="000000"/>
          <w:sz w:val="32"/>
          <w:szCs w:val="32"/>
          <w:lang w:val="en-US" w:eastAsia="zh-CN"/>
        </w:rPr>
        <w:t>中共积石山县委办公室</w:t>
      </w:r>
      <w:r>
        <w:rPr>
          <w:rFonts w:hint="eastAsia" w:ascii="仿宋_GB2312" w:hAnsi="宋体" w:eastAsia="仿宋_GB2312" w:cs="宋体"/>
          <w:spacing w:val="-20"/>
          <w:kern w:val="0"/>
          <w:sz w:val="32"/>
          <w:szCs w:val="32"/>
        </w:rPr>
        <w:t>2024年</w:t>
      </w:r>
      <w:r>
        <w:rPr>
          <w:rFonts w:hint="eastAsia" w:ascii="仿宋_GB2312" w:hAnsi="CIDFont+F6" w:eastAsia="仿宋_GB2312"/>
          <w:color w:val="000000"/>
          <w:sz w:val="32"/>
          <w:szCs w:val="32"/>
        </w:rPr>
        <w:t>部门/单位</w:t>
      </w:r>
      <w:r>
        <w:rPr>
          <w:rFonts w:hint="eastAsia" w:ascii="仿宋_GB2312" w:hAnsi="宋体" w:eastAsia="仿宋_GB2312" w:cs="宋体"/>
          <w:spacing w:val="-20"/>
          <w:kern w:val="0"/>
          <w:sz w:val="32"/>
          <w:szCs w:val="32"/>
        </w:rPr>
        <w:t>预算公开表</w:t>
      </w:r>
    </w:p>
    <w:p>
      <w:pPr>
        <w:adjustRightInd w:val="0"/>
        <w:snapToGrid w:val="0"/>
        <w:spacing w:line="640" w:lineRule="exact"/>
        <w:ind w:left="1598" w:leftChars="456" w:right="1120" w:hanging="640" w:hangingChars="200"/>
        <w:contextualSpacing/>
        <w:jc w:val="both"/>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CIDFont+F6" w:eastAsia="仿宋_GB2312"/>
          <w:color w:val="000000"/>
          <w:sz w:val="32"/>
          <w:szCs w:val="32"/>
          <w:lang w:val="en-US" w:eastAsia="zh-CN"/>
        </w:rPr>
        <w:t>中共积石山县委办公室</w:t>
      </w:r>
      <w:r>
        <w:rPr>
          <w:rFonts w:hint="eastAsia" w:ascii="仿宋_GB2312" w:hAnsi="宋体" w:eastAsia="仿宋_GB2312" w:cs="宋体"/>
          <w:kern w:val="0"/>
          <w:sz w:val="32"/>
          <w:szCs w:val="32"/>
        </w:rPr>
        <w:t>2024年</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整体支出绩效目标及预算项目绩效目标表</w:t>
      </w:r>
    </w:p>
    <w:p>
      <w:pPr>
        <w:adjustRightInd w:val="0"/>
        <w:snapToGrid w:val="0"/>
        <w:spacing w:line="640" w:lineRule="exact"/>
        <w:contextualSpacing/>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收支总体情况表</w:t>
      </w:r>
    </w:p>
    <w:tbl>
      <w:tblPr>
        <w:tblStyle w:val="9"/>
        <w:tblpPr w:leftFromText="180" w:rightFromText="180" w:vertAnchor="text" w:horzAnchor="page" w:tblpX="1285" w:tblpY="342"/>
        <w:tblOverlap w:val="never"/>
        <w:tblW w:w="9616" w:type="dxa"/>
        <w:tblInd w:w="0" w:type="dxa"/>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82"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widowControl/>
              <w:jc w:val="right"/>
              <w:rPr>
                <w:rFonts w:ascii="宋体" w:hAnsi="宋体" w:cs="Arial"/>
                <w:b/>
                <w:color w:val="000000"/>
                <w:kern w:val="0"/>
                <w:sz w:val="18"/>
                <w:szCs w:val="18"/>
              </w:rPr>
            </w:pPr>
          </w:p>
        </w:tc>
      </w:tr>
    </w:tbl>
    <w:p>
      <w:pPr>
        <w:ind w:firstLine="8820" w:firstLineChars="4900"/>
        <w:jc w:val="both"/>
        <w:rPr>
          <w:rFonts w:ascii="宋体" w:hAnsi="宋体" w:cs="Arial"/>
          <w:color w:val="000000"/>
          <w:kern w:val="0"/>
          <w:sz w:val="18"/>
          <w:szCs w:val="18"/>
        </w:rPr>
      </w:pPr>
      <w:r>
        <w:rPr>
          <w:rFonts w:hint="eastAsia" w:ascii="宋体" w:hAnsi="宋体" w:cs="Arial"/>
          <w:color w:val="000000"/>
          <w:kern w:val="0"/>
          <w:sz w:val="18"/>
          <w:szCs w:val="18"/>
        </w:rPr>
        <w:t>单位：万元</w:t>
      </w:r>
    </w:p>
    <w:p>
      <w:pPr>
        <w:widowControl/>
        <w:spacing w:line="560" w:lineRule="exact"/>
        <w:ind w:firstLine="360" w:firstLineChars="200"/>
        <w:jc w:val="left"/>
        <w:rPr>
          <w:rFonts w:ascii="仿宋_GB2312" w:hAnsi="微软雅黑" w:eastAsia="仿宋_GB2312"/>
          <w:sz w:val="18"/>
          <w:szCs w:val="18"/>
        </w:rPr>
        <w:sectPr>
          <w:pgSz w:w="11906" w:h="16838"/>
          <w:pgMar w:top="71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二、政府性基金预算财政拨款收入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三、国有资本经营预算收入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b/>
                <w:color w:val="000000"/>
                <w:sz w:val="18"/>
                <w:szCs w:val="18"/>
              </w:rPr>
              <w:t>四、教育专户核算</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bl>
    <w:p>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pPr>
        <w:tabs>
          <w:tab w:val="left" w:pos="1272"/>
        </w:tabs>
        <w:rPr>
          <w:rFonts w:ascii="仿宋_GB2312" w:hAnsi="微软雅黑" w:eastAsia="仿宋_GB2312"/>
          <w:sz w:val="18"/>
          <w:szCs w:val="18"/>
        </w:rPr>
      </w:pPr>
      <w:r>
        <w:rPr>
          <w:rFonts w:ascii="仿宋_GB2312" w:hAnsi="微软雅黑" w:eastAsia="仿宋_GB2312"/>
          <w:sz w:val="18"/>
          <w:szCs w:val="18"/>
        </w:rPr>
        <w:tab/>
      </w:r>
    </w:p>
    <w:p>
      <w:pPr>
        <w:tabs>
          <w:tab w:val="left" w:pos="12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9712" w:type="dxa"/>
        <w:jc w:val="center"/>
        <w:tblLayout w:type="autofit"/>
        <w:tblCellMar>
          <w:top w:w="0" w:type="dxa"/>
          <w:left w:w="108" w:type="dxa"/>
          <w:bottom w:w="0" w:type="dxa"/>
          <w:right w:w="108" w:type="dxa"/>
        </w:tblCellMar>
      </w:tblPr>
      <w:tblGrid>
        <w:gridCol w:w="3588"/>
        <w:gridCol w:w="1531"/>
        <w:gridCol w:w="1531"/>
        <w:gridCol w:w="1531"/>
        <w:gridCol w:w="1531"/>
      </w:tblGrid>
      <w:tr>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4056"/>
        </w:tabs>
        <w:rPr>
          <w:rFonts w:ascii="仿宋_GB2312" w:hAnsi="微软雅黑" w:eastAsia="仿宋_GB2312"/>
          <w:sz w:val="18"/>
          <w:szCs w:val="18"/>
        </w:rPr>
      </w:pPr>
      <w:r>
        <w:rPr>
          <w:rFonts w:ascii="仿宋_GB2312" w:hAnsi="微软雅黑" w:eastAsia="仿宋_GB2312"/>
          <w:sz w:val="18"/>
          <w:szCs w:val="18"/>
        </w:rPr>
        <w:tab/>
      </w:r>
    </w:p>
    <w:p>
      <w:pPr>
        <w:tabs>
          <w:tab w:val="left" w:pos="4056"/>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Arial"/>
                <w:b/>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widowControl/>
              <w:jc w:val="right"/>
              <w:rPr>
                <w:rFonts w:ascii="宋体" w:hAnsi="宋体" w:cs="Arial"/>
                <w:b/>
                <w:color w:val="000000"/>
                <w:kern w:val="0"/>
                <w:sz w:val="18"/>
                <w:szCs w:val="18"/>
              </w:rPr>
            </w:pPr>
          </w:p>
        </w:tc>
      </w:tr>
    </w:tbl>
    <w:p>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784"/>
        </w:tabs>
        <w:rPr>
          <w:rFonts w:ascii="仿宋_GB2312" w:hAnsi="微软雅黑" w:eastAsia="仿宋_GB2312"/>
          <w:sz w:val="18"/>
          <w:szCs w:val="18"/>
        </w:rPr>
      </w:pPr>
    </w:p>
    <w:p>
      <w:pPr>
        <w:tabs>
          <w:tab w:val="left" w:pos="2784"/>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tblPrEx>
          <w:tblCellMar>
            <w:top w:w="0" w:type="dxa"/>
            <w:left w:w="108" w:type="dxa"/>
            <w:bottom w:w="0" w:type="dxa"/>
            <w:right w:w="108" w:type="dxa"/>
          </w:tblCellMar>
        </w:tblPrEx>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3905" w:type="dxa"/>
            <w:tcBorders>
              <w:top w:val="single" w:color="000000" w:sz="4" w:space="0"/>
              <w:left w:val="nil"/>
              <w:bottom w:val="single" w:color="auto" w:sz="4" w:space="0"/>
              <w:right w:val="single" w:color="auto" w:sz="4" w:space="0"/>
            </w:tcBorders>
            <w:shd w:val="clear" w:color="FFFFFF" w:fill="FFFFFF"/>
            <w:noWrap/>
          </w:tcPr>
          <w:p>
            <w:pPr>
              <w:rPr>
                <w:rFonts w:ascii="宋体" w:hAnsi="宋体"/>
                <w:sz w:val="18"/>
                <w:szCs w:val="18"/>
              </w:rPr>
            </w:pPr>
            <w:r>
              <w:rPr>
                <w:rFonts w:ascii="宋体" w:hAnsi="宋体"/>
                <w:b/>
                <w:sz w:val="18"/>
                <w:szCs w:val="18"/>
              </w:rPr>
              <w:t>总计</w:t>
            </w:r>
          </w:p>
        </w:tc>
        <w:tc>
          <w:tcPr>
            <w:tcW w:w="106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r>
              <w:rPr>
                <w:rFonts w:hint="eastAsia" w:ascii="宋体" w:hAnsi="宋体"/>
                <w:sz w:val="18"/>
                <w:szCs w:val="18"/>
              </w:rPr>
              <w:t>……</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000000"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3936"/>
        </w:tabs>
        <w:rPr>
          <w:rFonts w:ascii="仿宋_GB2312" w:hAnsi="微软雅黑" w:eastAsia="仿宋_GB2312"/>
          <w:sz w:val="18"/>
          <w:szCs w:val="18"/>
        </w:rPr>
      </w:pPr>
      <w:r>
        <w:rPr>
          <w:rFonts w:ascii="仿宋_GB2312" w:hAnsi="微软雅黑" w:eastAsia="仿宋_GB2312"/>
          <w:sz w:val="18"/>
          <w:szCs w:val="18"/>
        </w:rPr>
        <w:tab/>
      </w:r>
    </w:p>
    <w:p>
      <w:pPr>
        <w:tabs>
          <w:tab w:val="left" w:pos="3936"/>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9"/>
        <w:tblW w:w="9591" w:type="dxa"/>
        <w:jc w:val="center"/>
        <w:tblLayout w:type="autofit"/>
        <w:tblCellMar>
          <w:top w:w="0" w:type="dxa"/>
          <w:left w:w="108" w:type="dxa"/>
          <w:bottom w:w="0" w:type="dxa"/>
          <w:right w:w="108" w:type="dxa"/>
        </w:tblCellMar>
      </w:tblPr>
      <w:tblGrid>
        <w:gridCol w:w="1074"/>
        <w:gridCol w:w="4253"/>
        <w:gridCol w:w="1417"/>
        <w:gridCol w:w="1418"/>
        <w:gridCol w:w="1429"/>
      </w:tblGrid>
      <w:tr>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hint="eastAsia" w:ascii="宋体" w:hAnsi="宋体"/>
                <w:sz w:val="18"/>
                <w:szCs w:val="18"/>
              </w:rPr>
              <w:t>……</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hint="eastAsia" w:ascii="宋体" w:hAnsi="宋体"/>
                <w:sz w:val="18"/>
                <w:szCs w:val="18"/>
              </w:rPr>
              <w:t>……</w:t>
            </w: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472"/>
        </w:tabs>
        <w:rPr>
          <w:rFonts w:ascii="仿宋_GB2312" w:hAnsi="微软雅黑" w:eastAsia="仿宋_GB2312"/>
          <w:sz w:val="18"/>
          <w:szCs w:val="18"/>
        </w:rPr>
      </w:pPr>
      <w:r>
        <w:rPr>
          <w:rFonts w:ascii="仿宋_GB2312" w:hAnsi="微软雅黑" w:eastAsia="仿宋_GB2312"/>
          <w:sz w:val="18"/>
          <w:szCs w:val="18"/>
        </w:rPr>
        <w:tab/>
      </w:r>
    </w:p>
    <w:p>
      <w:pPr>
        <w:tabs>
          <w:tab w:val="left" w:pos="24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9"/>
        <w:tblW w:w="9405" w:type="dxa"/>
        <w:jc w:val="center"/>
        <w:tblLayout w:type="autofit"/>
        <w:tblCellMar>
          <w:top w:w="0" w:type="dxa"/>
          <w:left w:w="108" w:type="dxa"/>
          <w:bottom w:w="0" w:type="dxa"/>
          <w:right w:w="108" w:type="dxa"/>
        </w:tblCellMar>
      </w:tblPr>
      <w:tblGrid>
        <w:gridCol w:w="948"/>
        <w:gridCol w:w="4252"/>
        <w:gridCol w:w="1559"/>
        <w:gridCol w:w="1418"/>
        <w:gridCol w:w="1228"/>
      </w:tblGrid>
      <w:tr>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512"/>
        </w:tabs>
        <w:rPr>
          <w:rFonts w:ascii="宋体" w:hAnsi="宋体"/>
          <w:sz w:val="18"/>
          <w:szCs w:val="18"/>
        </w:rPr>
      </w:pPr>
      <w:r>
        <w:rPr>
          <w:rFonts w:ascii="宋体" w:hAnsi="宋体"/>
          <w:sz w:val="18"/>
          <w:szCs w:val="18"/>
        </w:rPr>
        <w:tab/>
      </w:r>
    </w:p>
    <w:p>
      <w:pPr>
        <w:tabs>
          <w:tab w:val="left" w:pos="151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9"/>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5125" w:type="dxa"/>
            <w:tcBorders>
              <w:top w:val="single" w:color="000000" w:sz="4" w:space="0"/>
              <w:left w:val="nil"/>
              <w:bottom w:val="single" w:color="auto" w:sz="4" w:space="0"/>
              <w:right w:val="single" w:color="auto" w:sz="4" w:space="0"/>
            </w:tcBorders>
            <w:shd w:val="clear" w:color="CCCCFF" w:fill="FFFFFF"/>
            <w:noWrap/>
          </w:tcPr>
          <w:p>
            <w:pPr>
              <w:rPr>
                <w:rFonts w:ascii="宋体" w:hAnsi="宋体"/>
                <w:sz w:val="18"/>
                <w:szCs w:val="18"/>
              </w:rPr>
            </w:pPr>
            <w:r>
              <w:rPr>
                <w:rFonts w:ascii="宋体" w:hAnsi="宋体"/>
                <w:b/>
                <w:sz w:val="18"/>
                <w:szCs w:val="18"/>
              </w:rPr>
              <w:t>总计</w:t>
            </w:r>
          </w:p>
        </w:tc>
        <w:tc>
          <w:tcPr>
            <w:tcW w:w="1358"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r>
              <w:rPr>
                <w:rFonts w:hint="eastAsia" w:ascii="宋体" w:hAnsi="宋体"/>
                <w:sz w:val="18"/>
                <w:szCs w:val="18"/>
              </w:rPr>
              <w:t>……</w:t>
            </w: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000000"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nil"/>
            </w:tcBorders>
            <w:shd w:val="clear" w:color="CCCCFF" w:fill="FFFFFF"/>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812"/>
        </w:tabs>
        <w:rPr>
          <w:rFonts w:ascii="仿宋_GB2312" w:hAnsi="微软雅黑" w:eastAsia="仿宋_GB2312"/>
          <w:sz w:val="18"/>
          <w:szCs w:val="18"/>
        </w:rPr>
      </w:pPr>
      <w:r>
        <w:rPr>
          <w:rFonts w:ascii="仿宋_GB2312" w:hAnsi="微软雅黑" w:eastAsia="仿宋_GB2312"/>
          <w:sz w:val="18"/>
          <w:szCs w:val="18"/>
        </w:rPr>
        <w:tab/>
      </w:r>
    </w:p>
    <w:p>
      <w:pPr>
        <w:tabs>
          <w:tab w:val="left" w:pos="1812"/>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9"/>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9"/>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、国有资本经营预算支出情况表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9"/>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部门/单位整体支出绩效目标表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9"/>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asciiTheme="minorEastAsia" w:hAnsiTheme="minorEastAsia" w:eastAsiaTheme="minorEastAsia"/>
                <w:color w:val="000000"/>
                <w:sz w:val="18"/>
                <w:szCs w:val="18"/>
              </w:rPr>
            </w:pPr>
            <w:r>
              <w:rPr>
                <w:rFonts w:hint="eastAsia" w:cs="宋体" w:asciiTheme="minorEastAsia" w:hAnsiTheme="minorEastAsia" w:eastAsiaTheme="minorEastAsia"/>
                <w:kern w:val="0"/>
                <w:sz w:val="18"/>
                <w:szCs w:val="18"/>
              </w:rPr>
              <w:t>目标3：</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cBorders>
            <w:textDirection w:val="tbLrV"/>
            <w:vAlign w:val="center"/>
          </w:tcPr>
          <w:p>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bCs/>
                <w:color w:val="000000"/>
                <w:sz w:val="18"/>
                <w:szCs w:val="18"/>
              </w:rPr>
            </w:pPr>
          </w:p>
        </w:tc>
      </w:tr>
    </w:tbl>
    <w:p/>
    <w:p>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9"/>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3" w:type="pct"/>
            <w:gridSpan w:val="6"/>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7" w:type="pct"/>
            <w:gridSpan w:val="3"/>
            <w:vAlign w:val="center"/>
          </w:tcPr>
          <w:p>
            <w:pPr>
              <w:widowControl/>
              <w:spacing w:line="360" w:lineRule="exact"/>
              <w:jc w:val="center"/>
              <w:rPr>
                <w:rFonts w:cs="宋体" w:asciiTheme="minorEastAsia" w:hAnsiTheme="minorEastAsia" w:eastAsiaTheme="minorEastAsia"/>
                <w:kern w:val="0"/>
                <w:sz w:val="18"/>
                <w:szCs w:val="18"/>
              </w:rPr>
            </w:pPr>
          </w:p>
        </w:tc>
        <w:tc>
          <w:tcPr>
            <w:tcW w:w="1089"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7" w:type="pct"/>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7" w:type="pct"/>
            <w:gridSpan w:val="3"/>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5" w:type="pct"/>
            <w:gridSpan w:val="7"/>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9"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8"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b/>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bl>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GYxMzU1MGUyZTRhMzQ3NmYyM2Q5ZjJkM2U2YWM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777E8"/>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826A17"/>
    <w:rsid w:val="06155CFB"/>
    <w:rsid w:val="09616F12"/>
    <w:rsid w:val="0A56459C"/>
    <w:rsid w:val="0EE83C31"/>
    <w:rsid w:val="10F863AD"/>
    <w:rsid w:val="113741D2"/>
    <w:rsid w:val="13070B2A"/>
    <w:rsid w:val="1D34261E"/>
    <w:rsid w:val="1F4629DA"/>
    <w:rsid w:val="257A518B"/>
    <w:rsid w:val="25D53E1D"/>
    <w:rsid w:val="27CE17BE"/>
    <w:rsid w:val="29775F79"/>
    <w:rsid w:val="29B50E88"/>
    <w:rsid w:val="29E928DF"/>
    <w:rsid w:val="2AF5168C"/>
    <w:rsid w:val="2D742E08"/>
    <w:rsid w:val="2EEE2746"/>
    <w:rsid w:val="31077AEF"/>
    <w:rsid w:val="31CF549D"/>
    <w:rsid w:val="34F36D08"/>
    <w:rsid w:val="36E1024D"/>
    <w:rsid w:val="382B0567"/>
    <w:rsid w:val="38DB3D3B"/>
    <w:rsid w:val="3C7F70D3"/>
    <w:rsid w:val="4DB82445"/>
    <w:rsid w:val="4F31425D"/>
    <w:rsid w:val="507F03F4"/>
    <w:rsid w:val="527E074E"/>
    <w:rsid w:val="579503FF"/>
    <w:rsid w:val="5ECC5D50"/>
    <w:rsid w:val="60535296"/>
    <w:rsid w:val="607F732C"/>
    <w:rsid w:val="636522D0"/>
    <w:rsid w:val="666B5E4F"/>
    <w:rsid w:val="6B657311"/>
    <w:rsid w:val="6C147994"/>
    <w:rsid w:val="72FD2525"/>
    <w:rsid w:val="7394437D"/>
    <w:rsid w:val="75575F1C"/>
    <w:rsid w:val="79BF0C4D"/>
    <w:rsid w:val="7A8F7F06"/>
    <w:rsid w:val="7C183F2B"/>
    <w:rsid w:val="7FC91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uiPriority w:val="0"/>
    <w:pPr>
      <w:jc w:val="left"/>
    </w:pPr>
  </w:style>
  <w:style w:type="paragraph" w:styleId="4">
    <w:name w:val="Balloon Text"/>
    <w:basedOn w:val="1"/>
    <w:link w:val="16"/>
    <w:qFormat/>
    <w:uiPriority w:val="0"/>
    <w:rPr>
      <w:sz w:val="18"/>
      <w:szCs w:val="18"/>
    </w:rPr>
  </w:style>
  <w:style w:type="paragraph" w:styleId="5">
    <w:name w:val="footer"/>
    <w:basedOn w:val="1"/>
    <w:link w:val="13"/>
    <w:autoRedefine/>
    <w:uiPriority w:val="0"/>
    <w:pPr>
      <w:tabs>
        <w:tab w:val="center" w:pos="4153"/>
        <w:tab w:val="right" w:pos="8306"/>
      </w:tabs>
      <w:snapToGrid w:val="0"/>
      <w:jc w:val="left"/>
    </w:pPr>
    <w:rPr>
      <w:sz w:val="18"/>
      <w:szCs w:val="18"/>
    </w:rPr>
  </w:style>
  <w:style w:type="paragraph" w:styleId="6">
    <w:name w:val="header"/>
    <w:basedOn w:val="1"/>
    <w:link w:val="14"/>
    <w:autoRedefine/>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0"/>
    <w:autoRedefine/>
    <w:qFormat/>
    <w:uiPriority w:val="0"/>
    <w:rPr>
      <w:b/>
      <w:bCs/>
    </w:rPr>
  </w:style>
  <w:style w:type="character" w:styleId="11">
    <w:name w:val="line number"/>
    <w:autoRedefine/>
    <w:qFormat/>
    <w:uiPriority w:val="0"/>
  </w:style>
  <w:style w:type="character" w:styleId="12">
    <w:name w:val="annotation reference"/>
    <w:qFormat/>
    <w:uiPriority w:val="0"/>
    <w:rPr>
      <w:sz w:val="21"/>
      <w:szCs w:val="21"/>
    </w:rPr>
  </w:style>
  <w:style w:type="character" w:customStyle="1" w:styleId="13">
    <w:name w:val="页脚 Char"/>
    <w:link w:val="5"/>
    <w:autoRedefine/>
    <w:uiPriority w:val="0"/>
    <w:rPr>
      <w:sz w:val="18"/>
      <w:szCs w:val="18"/>
    </w:rPr>
  </w:style>
  <w:style w:type="character" w:customStyle="1" w:styleId="14">
    <w:name w:val="页眉 Char"/>
    <w:link w:val="6"/>
    <w:autoRedefine/>
    <w:uiPriority w:val="0"/>
    <w:rPr>
      <w:sz w:val="18"/>
      <w:szCs w:val="18"/>
    </w:rPr>
  </w:style>
  <w:style w:type="paragraph" w:styleId="15">
    <w:name w:val="List Paragraph"/>
    <w:basedOn w:val="1"/>
    <w:qFormat/>
    <w:uiPriority w:val="0"/>
    <w:pPr>
      <w:ind w:firstLine="420" w:firstLineChars="200"/>
    </w:pPr>
  </w:style>
  <w:style w:type="character" w:customStyle="1" w:styleId="16">
    <w:name w:val="批注框文本 Char"/>
    <w:link w:val="4"/>
    <w:autoRedefine/>
    <w:qFormat/>
    <w:uiPriority w:val="0"/>
    <w:rPr>
      <w:kern w:val="2"/>
      <w:sz w:val="18"/>
      <w:szCs w:val="18"/>
    </w:rPr>
  </w:style>
  <w:style w:type="character" w:customStyle="1" w:styleId="17">
    <w:name w:val="标题 1 Char"/>
    <w:link w:val="2"/>
    <w:autoRedefine/>
    <w:qFormat/>
    <w:uiPriority w:val="0"/>
    <w:rPr>
      <w:rFonts w:ascii="Times New Roman" w:hAnsi="Times New Roman"/>
      <w:b/>
      <w:bCs/>
      <w:kern w:val="44"/>
      <w:sz w:val="44"/>
      <w:szCs w:val="44"/>
    </w:rPr>
  </w:style>
  <w:style w:type="paragraph" w:customStyle="1" w:styleId="18">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
    <w:name w:val="批注文字 Char"/>
    <w:link w:val="3"/>
    <w:autoRedefine/>
    <w:qFormat/>
    <w:uiPriority w:val="0"/>
    <w:rPr>
      <w:kern w:val="2"/>
      <w:sz w:val="21"/>
      <w:szCs w:val="22"/>
    </w:rPr>
  </w:style>
  <w:style w:type="character" w:customStyle="1" w:styleId="20">
    <w:name w:val="批注主题 Char"/>
    <w:link w:val="8"/>
    <w:autoRedefine/>
    <w:qFormat/>
    <w:uiPriority w:val="0"/>
    <w:rPr>
      <w:b/>
      <w:bCs/>
      <w:kern w:val="2"/>
      <w:sz w:val="21"/>
      <w:szCs w:val="22"/>
    </w:rPr>
  </w:style>
  <w:style w:type="character" w:customStyle="1" w:styleId="21">
    <w:name w:val="fontstyle01"/>
    <w:autoRedefine/>
    <w:qFormat/>
    <w:uiPriority w:val="0"/>
    <w:rPr>
      <w:rFonts w:hint="eastAsia" w:ascii="仿宋_GB2312" w:eastAsia="仿宋_GB2312"/>
      <w:color w:val="000000"/>
      <w:sz w:val="32"/>
      <w:szCs w:val="32"/>
    </w:rPr>
  </w:style>
  <w:style w:type="character" w:customStyle="1" w:styleId="22">
    <w:name w:val="fontstyle21"/>
    <w:autoRedefine/>
    <w:qFormat/>
    <w:uiPriority w:val="0"/>
    <w:rPr>
      <w:rFonts w:hint="default" w:ascii="TimesNewRomanPSMT" w:hAnsi="TimesNewRomanPSMT"/>
      <w:color w:val="000000"/>
      <w:sz w:val="32"/>
      <w:szCs w:val="32"/>
    </w:rPr>
  </w:style>
  <w:style w:type="character" w:customStyle="1" w:styleId="23">
    <w:name w:val="fontstyle11"/>
    <w:uiPriority w:val="0"/>
    <w:rPr>
      <w:rFonts w:hint="eastAsia" w:ascii="仿宋_GB2312" w:eastAsia="仿宋_GB2312"/>
      <w:color w:val="000000"/>
      <w:sz w:val="32"/>
      <w:szCs w:val="32"/>
    </w:rPr>
  </w:style>
  <w:style w:type="character" w:customStyle="1" w:styleId="24">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1</TotalTime>
  <ScaleCrop>false</ScaleCrop>
  <LinksUpToDate>false</LinksUpToDate>
  <CharactersWithSpaces>9630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美酒★咖啡</cp:lastModifiedBy>
  <cp:lastPrinted>2024-02-18T02:23:00Z</cp:lastPrinted>
  <dcterms:modified xsi:type="dcterms:W3CDTF">2024-03-19T08:00:25Z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C79E573B705A4E3285931547A67597B2_13</vt:lpwstr>
  </property>
</Properties>
</file>