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bookmarkStart w:id="0" w:name="_GoBack"/>
      <w:bookmarkEnd w:id="0"/>
      <w:r>
        <w:rPr>
          <w:rFonts w:hint="eastAsia" w:ascii="仿宋_GB2312" w:hAnsi="宋体" w:eastAsia="仿宋_GB2312" w:cs="宋体"/>
          <w:b/>
          <w:bCs/>
          <w:sz w:val="24"/>
          <w:szCs w:val="24"/>
        </w:rPr>
        <w:t>附件1</w:t>
      </w:r>
      <w:r>
        <w:rPr>
          <w:rFonts w:hint="eastAsia" w:ascii="仿宋_GB2312" w:hAnsi="宋体" w:eastAsia="仿宋_GB2312" w:cs="宋体"/>
          <w:b/>
          <w:bCs/>
          <w:color w:val="auto"/>
          <w:sz w:val="24"/>
          <w:szCs w:val="24"/>
        </w:rPr>
        <w:t>：</w:t>
      </w:r>
      <w:r>
        <w:rPr>
          <w:rFonts w:hint="eastAsia" w:ascii="仿宋_GB2312" w:hAnsi="宋体" w:eastAsia="仿宋_GB2312" w:cs="宋体"/>
          <w:b/>
          <w:bCs/>
          <w:color w:val="auto"/>
          <w:sz w:val="24"/>
          <w:szCs w:val="24"/>
          <w:lang w:val="en-US" w:eastAsia="zh-CN"/>
        </w:rPr>
        <w:t>甘肃省临夏州积石山县残疾人联合会[本级]</w:t>
      </w:r>
      <w:r>
        <w:rPr>
          <w:rFonts w:hint="eastAsia" w:ascii="仿宋_GB2312" w:hAnsi="宋体" w:eastAsia="仿宋_GB2312" w:cs="宋体"/>
          <w:b/>
          <w:bCs/>
          <w:color w:val="auto"/>
          <w:sz w:val="24"/>
          <w:szCs w:val="24"/>
        </w:rPr>
        <w:t>201</w:t>
      </w:r>
      <w:r>
        <w:rPr>
          <w:rFonts w:hint="eastAsia" w:ascii="仿宋_GB2312" w:hAnsi="宋体" w:eastAsia="仿宋_GB2312" w:cs="宋体"/>
          <w:b/>
          <w:bCs/>
          <w:color w:val="auto"/>
          <w:sz w:val="24"/>
          <w:szCs w:val="24"/>
          <w:lang w:val="en-US" w:eastAsia="zh-CN"/>
        </w:rPr>
        <w:t>9</w:t>
      </w:r>
      <w:r>
        <w:rPr>
          <w:rFonts w:hint="eastAsia" w:ascii="仿宋_GB2312" w:hAnsi="宋体" w:eastAsia="仿宋_GB2312" w:cs="宋体"/>
          <w:b/>
          <w:bCs/>
          <w:color w:val="auto"/>
          <w:sz w:val="24"/>
          <w:szCs w:val="24"/>
        </w:rPr>
        <w:t>年度</w:t>
      </w:r>
      <w:r>
        <w:rPr>
          <w:rFonts w:ascii="仿宋_GB2312" w:hAnsi="宋体" w:eastAsia="仿宋_GB2312" w:cs="宋体"/>
          <w:b/>
          <w:bCs/>
          <w:color w:val="auto"/>
          <w:sz w:val="24"/>
          <w:szCs w:val="24"/>
        </w:rPr>
        <w:t>部门决算情况说明</w:t>
      </w:r>
    </w:p>
    <w:p>
      <w:pPr>
        <w:rPr>
          <w:color w:val="auto"/>
        </w:rPr>
      </w:pPr>
    </w:p>
    <w:p>
      <w:pPr>
        <w:jc w:val="center"/>
        <w:rPr>
          <w:rFonts w:ascii="方正小标宋简体" w:eastAsia="方正小标宋简体"/>
          <w:sz w:val="36"/>
          <w:szCs w:val="36"/>
        </w:rPr>
      </w:pPr>
      <w:r>
        <w:rPr>
          <w:rFonts w:hint="eastAsia" w:ascii="方正小标宋简体" w:eastAsia="方正小标宋简体"/>
          <w:color w:val="auto"/>
          <w:sz w:val="36"/>
          <w:szCs w:val="36"/>
          <w:lang w:val="en-US" w:eastAsia="zh-CN"/>
        </w:rPr>
        <w:t>甘肃省临夏州积石山县残疾人联合会[本级]</w:t>
      </w:r>
      <w:r>
        <w:rPr>
          <w:rFonts w:hint="eastAsia" w:ascii="方正小标宋简体" w:eastAsia="方正小标宋简体"/>
          <w:color w:val="auto"/>
          <w:sz w:val="36"/>
          <w:szCs w:val="36"/>
        </w:rPr>
        <w:t>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rPr>
        <w:t>年度部门</w:t>
      </w:r>
      <w:r>
        <w:rPr>
          <w:rFonts w:hint="eastAsia" w:ascii="方正小标宋简体" w:eastAsia="方正小标宋简体"/>
          <w:sz w:val="36"/>
          <w:szCs w:val="36"/>
        </w:rPr>
        <w:t>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开展残疾人康复、教育、劳动就业、用品用具、福利、社会服务和残疾预防工作</w:t>
      </w:r>
      <w:r>
        <w:rPr>
          <w:rFonts w:hint="eastAsia" w:ascii="仿宋_GB2312" w:eastAsia="仿宋_GB2312"/>
          <w:color w:val="auto"/>
          <w:sz w:val="30"/>
          <w:szCs w:val="30"/>
          <w:lang w:eastAsia="zh-CN"/>
        </w:rPr>
        <w:t>，</w:t>
      </w:r>
      <w:r>
        <w:rPr>
          <w:rFonts w:hint="eastAsia" w:ascii="仿宋_GB2312" w:eastAsia="仿宋_GB2312"/>
          <w:color w:val="auto"/>
          <w:sz w:val="30"/>
          <w:szCs w:val="30"/>
        </w:rPr>
        <w:t>维护残疾人的合法权益</w:t>
      </w:r>
      <w:r>
        <w:rPr>
          <w:rFonts w:hint="eastAsia" w:ascii="仿宋_GB2312" w:eastAsia="仿宋_GB2312"/>
          <w:color w:val="auto"/>
          <w:sz w:val="30"/>
          <w:szCs w:val="30"/>
          <w:lang w:eastAsia="zh-CN"/>
        </w:rPr>
        <w:t>，</w:t>
      </w:r>
      <w:r>
        <w:rPr>
          <w:rFonts w:hint="eastAsia" w:ascii="仿宋_GB2312" w:eastAsia="仿宋_GB2312"/>
          <w:color w:val="auto"/>
          <w:sz w:val="30"/>
          <w:szCs w:val="30"/>
        </w:rPr>
        <w:t>听取残疾人意见，反映残疾人需求，为残疾人服务。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eastAsia="zh-CN"/>
        </w:rPr>
        <w:t>积石山县残疾人联合会为</w:t>
      </w:r>
      <w:r>
        <w:rPr>
          <w:rFonts w:hint="eastAsia" w:ascii="仿宋_GB2312" w:eastAsia="仿宋_GB2312"/>
          <w:color w:val="auto"/>
          <w:sz w:val="30"/>
          <w:szCs w:val="30"/>
        </w:rPr>
        <w:t>全额拨款单位。</w:t>
      </w:r>
      <w:r>
        <w:rPr>
          <w:rFonts w:hint="eastAsia" w:ascii="仿宋_GB2312" w:eastAsia="仿宋_GB2312"/>
          <w:color w:val="auto"/>
          <w:sz w:val="30"/>
          <w:szCs w:val="30"/>
          <w:lang w:eastAsia="zh-CN"/>
        </w:rPr>
        <w:t>有教就股、组宣股、维权股、康复股、办公室、财务室，人数</w:t>
      </w:r>
      <w:r>
        <w:rPr>
          <w:rFonts w:hint="eastAsia" w:ascii="仿宋_GB2312" w:eastAsia="仿宋_GB2312"/>
          <w:color w:val="auto"/>
          <w:sz w:val="30"/>
          <w:szCs w:val="30"/>
          <w:lang w:val="en-US" w:eastAsia="zh-CN"/>
        </w:rPr>
        <w:t>44人</w:t>
      </w:r>
    </w:p>
    <w:p>
      <w:pPr>
        <w:ind w:firstLine="600" w:firstLineChars="200"/>
        <w:rPr>
          <w:rFonts w:ascii="黑体" w:hAnsi="黑体" w:eastAsia="黑体"/>
          <w:sz w:val="30"/>
          <w:szCs w:val="30"/>
        </w:rPr>
      </w:pPr>
      <w:r>
        <w:rPr>
          <w:rFonts w:hint="eastAsia" w:ascii="黑体" w:hAnsi="黑体" w:eastAsia="黑体"/>
          <w:sz w:val="30"/>
          <w:szCs w:val="30"/>
        </w:rPr>
        <w:t>二、201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年度收入总计</w:t>
      </w:r>
      <w:r>
        <w:rPr>
          <w:rFonts w:hint="eastAsia" w:ascii="仿宋_GB2312" w:eastAsia="仿宋_GB2312"/>
          <w:color w:val="auto"/>
          <w:sz w:val="30"/>
          <w:szCs w:val="30"/>
          <w:lang w:val="en-US" w:eastAsia="zh-CN"/>
        </w:rPr>
        <w:t>4689024.26</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3866227.15</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年度收入合计</w:t>
      </w:r>
      <w:r>
        <w:rPr>
          <w:rFonts w:hint="eastAsia" w:ascii="仿宋_GB2312" w:eastAsia="仿宋_GB2312"/>
          <w:color w:val="auto"/>
          <w:sz w:val="30"/>
          <w:szCs w:val="30"/>
          <w:lang w:val="en-US" w:eastAsia="zh-CN"/>
        </w:rPr>
        <w:t>4689024.26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4689024.26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其他收入</w:t>
      </w:r>
      <w:r>
        <w:rPr>
          <w:rFonts w:hint="eastAsia" w:ascii="仿宋_GB2312" w:eastAsia="仿宋_GB2312"/>
          <w:color w:val="auto"/>
          <w:sz w:val="30"/>
          <w:szCs w:val="30"/>
          <w:lang w:val="en-US" w:eastAsia="zh-CN"/>
        </w:rPr>
        <w:t>40500元。</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年度支出合计</w:t>
      </w:r>
      <w:r>
        <w:rPr>
          <w:rFonts w:hint="eastAsia" w:ascii="仿宋_GB2312" w:eastAsia="仿宋_GB2312"/>
          <w:color w:val="auto"/>
          <w:sz w:val="30"/>
          <w:szCs w:val="30"/>
          <w:lang w:val="en-US" w:eastAsia="zh-CN"/>
        </w:rPr>
        <w:t>3866227.15</w:t>
      </w:r>
      <w:r>
        <w:rPr>
          <w:rFonts w:hint="eastAsia" w:ascii="仿宋_GB2312" w:eastAsia="仿宋_GB2312"/>
          <w:color w:val="auto"/>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年度年末结转和结余</w:t>
      </w:r>
      <w:r>
        <w:rPr>
          <w:rFonts w:hint="eastAsia" w:ascii="仿宋_GB2312" w:eastAsia="仿宋_GB2312"/>
          <w:color w:val="auto"/>
          <w:sz w:val="30"/>
          <w:szCs w:val="30"/>
          <w:lang w:val="en-US" w:eastAsia="zh-CN"/>
        </w:rPr>
        <w:t>25887.11</w:t>
      </w:r>
      <w:r>
        <w:rPr>
          <w:rFonts w:hint="eastAsia" w:ascii="仿宋_GB2312" w:eastAsia="仿宋_GB2312"/>
          <w:color w:val="auto"/>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color w:val="auto"/>
          <w:sz w:val="30"/>
          <w:szCs w:val="30"/>
        </w:rPr>
        <w:t>本部门201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年度财政拨款收入</w:t>
      </w:r>
      <w:r>
        <w:rPr>
          <w:rFonts w:hint="eastAsia" w:ascii="仿宋_GB2312" w:eastAsia="仿宋_GB2312"/>
          <w:color w:val="auto"/>
          <w:sz w:val="30"/>
          <w:szCs w:val="30"/>
          <w:lang w:val="en-US" w:eastAsia="zh-CN"/>
        </w:rPr>
        <w:t>4689024.26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rPr>
        <w:t>本</w:t>
      </w:r>
      <w:r>
        <w:rPr>
          <w:rFonts w:hint="eastAsia" w:ascii="仿宋_GB2312" w:eastAsia="仿宋_GB2312"/>
          <w:color w:val="auto"/>
          <w:sz w:val="30"/>
          <w:szCs w:val="30"/>
        </w:rPr>
        <w:t>部门201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年度财政拨款支出</w:t>
      </w:r>
      <w:r>
        <w:rPr>
          <w:rFonts w:hint="eastAsia" w:ascii="仿宋_GB2312" w:eastAsia="仿宋_GB2312"/>
          <w:color w:val="auto"/>
          <w:sz w:val="30"/>
          <w:szCs w:val="30"/>
          <w:lang w:val="en-US" w:eastAsia="zh-CN"/>
        </w:rPr>
        <w:t>3866227.15</w:t>
      </w:r>
      <w:r>
        <w:rPr>
          <w:rFonts w:hint="eastAsia" w:ascii="仿宋_GB2312" w:eastAsia="仿宋_GB2312"/>
          <w:color w:val="auto"/>
          <w:sz w:val="30"/>
          <w:szCs w:val="30"/>
          <w:lang w:eastAsia="zh-CN"/>
        </w:rPr>
        <w:t>元。</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w:t>
      </w:r>
      <w:r>
        <w:rPr>
          <w:rFonts w:hint="eastAsia" w:ascii="仿宋_GB2312" w:eastAsia="仿宋_GB2312"/>
          <w:color w:val="auto"/>
          <w:sz w:val="30"/>
          <w:szCs w:val="30"/>
        </w:rPr>
        <w:t>部门20</w:t>
      </w:r>
      <w:r>
        <w:rPr>
          <w:rFonts w:hint="eastAsia" w:ascii="仿宋_GB2312" w:eastAsia="仿宋_GB2312"/>
          <w:color w:val="auto"/>
          <w:sz w:val="30"/>
          <w:szCs w:val="30"/>
          <w:lang w:val="en-US" w:eastAsia="zh-CN"/>
        </w:rPr>
        <w:t>19</w:t>
      </w:r>
      <w:r>
        <w:rPr>
          <w:rFonts w:hint="eastAsia" w:ascii="仿宋_GB2312" w:eastAsia="仿宋_GB2312"/>
          <w:color w:val="auto"/>
          <w:sz w:val="30"/>
          <w:szCs w:val="30"/>
        </w:rPr>
        <w:t>年度财政拨款支出主要用于以下方面：一般公共服务支出</w:t>
      </w:r>
      <w:r>
        <w:rPr>
          <w:rFonts w:hint="eastAsia" w:ascii="仿宋_GB2312" w:eastAsia="仿宋_GB2312"/>
          <w:color w:val="auto"/>
          <w:sz w:val="30"/>
          <w:szCs w:val="30"/>
          <w:lang w:val="en-US" w:eastAsia="zh-CN"/>
        </w:rPr>
        <w:t>477250</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本部门201</w:t>
      </w:r>
      <w:r>
        <w:rPr>
          <w:rFonts w:hint="eastAsia" w:ascii="仿宋_GB2312" w:eastAsia="仿宋_GB2312"/>
          <w:sz w:val="30"/>
          <w:szCs w:val="30"/>
          <w:lang w:val="en-US" w:eastAsia="zh-CN"/>
        </w:rPr>
        <w:t>9</w:t>
      </w:r>
      <w:r>
        <w:rPr>
          <w:rFonts w:hint="eastAsia" w:ascii="仿宋_GB2312" w:eastAsia="仿宋_GB2312"/>
          <w:sz w:val="30"/>
          <w:szCs w:val="30"/>
        </w:rPr>
        <w:t>年度</w:t>
      </w:r>
      <w:r>
        <w:rPr>
          <w:rFonts w:hint="eastAsia" w:ascii="仿宋_GB2312" w:eastAsia="仿宋_GB2312"/>
          <w:color w:val="auto"/>
          <w:sz w:val="30"/>
          <w:szCs w:val="30"/>
        </w:rPr>
        <w:t>一般公共财政拨款基本支出</w:t>
      </w:r>
      <w:r>
        <w:rPr>
          <w:rFonts w:hint="eastAsia" w:ascii="仿宋_GB2312" w:eastAsia="仿宋_GB2312"/>
          <w:color w:val="auto"/>
          <w:sz w:val="30"/>
          <w:szCs w:val="30"/>
          <w:lang w:val="en-US" w:eastAsia="zh-CN"/>
        </w:rPr>
        <w:t>3866227.15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3376108.96</w:t>
      </w:r>
      <w:r>
        <w:rPr>
          <w:rFonts w:hint="eastAsia" w:ascii="仿宋_GB2312" w:eastAsia="仿宋_GB2312"/>
          <w:color w:val="auto"/>
          <w:sz w:val="30"/>
          <w:szCs w:val="30"/>
          <w:lang w:eastAsia="zh-CN"/>
        </w:rPr>
        <w:t>元</w:t>
      </w:r>
      <w:r>
        <w:rPr>
          <w:rFonts w:hint="eastAsia" w:ascii="仿宋_GB2312" w:eastAsia="仿宋_GB2312"/>
          <w:color w:val="auto"/>
          <w:sz w:val="30"/>
          <w:szCs w:val="30"/>
        </w:rPr>
        <w:t>， 人员经费用途主要包括基本工资、津贴补贴、奖金、</w:t>
      </w:r>
      <w:r>
        <w:rPr>
          <w:rFonts w:hint="eastAsia" w:ascii="仿宋_GB2312" w:eastAsia="仿宋_GB2312"/>
          <w:color w:val="auto"/>
          <w:sz w:val="30"/>
          <w:szCs w:val="30"/>
          <w:lang w:val="en-US" w:eastAsia="zh-CN"/>
        </w:rPr>
        <w:t>离、生活补助</w:t>
      </w:r>
      <w:r>
        <w:rPr>
          <w:rFonts w:hint="eastAsia" w:ascii="仿宋_GB2312" w:eastAsia="仿宋_GB2312"/>
          <w:color w:val="auto"/>
          <w:sz w:val="30"/>
          <w:szCs w:val="30"/>
        </w:rPr>
        <w:t>。</w:t>
      </w:r>
      <w:r>
        <w:rPr>
          <w:rFonts w:hint="eastAsia" w:ascii="仿宋_GB2312" w:eastAsia="仿宋_GB2312"/>
          <w:color w:val="auto"/>
          <w:sz w:val="30"/>
          <w:szCs w:val="30"/>
          <w:lang w:eastAsia="zh-CN"/>
        </w:rPr>
        <w:t>商品和服务支出</w:t>
      </w:r>
      <w:r>
        <w:rPr>
          <w:rFonts w:hint="eastAsia" w:ascii="仿宋_GB2312" w:eastAsia="仿宋_GB2312"/>
          <w:color w:val="auto"/>
          <w:sz w:val="30"/>
          <w:szCs w:val="30"/>
          <w:lang w:val="en-US" w:eastAsia="zh-CN"/>
        </w:rPr>
        <w:t>490118.19</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w:t>
      </w:r>
      <w:r>
        <w:rPr>
          <w:rFonts w:hint="eastAsia" w:ascii="仿宋_GB2312" w:eastAsia="仿宋_GB2312"/>
          <w:sz w:val="30"/>
          <w:szCs w:val="30"/>
          <w:lang w:eastAsia="zh-CN"/>
        </w:rPr>
        <w:t>出</w:t>
      </w:r>
      <w:r>
        <w:rPr>
          <w:rFonts w:hint="eastAsia" w:ascii="仿宋_GB2312" w:eastAsia="仿宋_GB2312"/>
          <w:sz w:val="30"/>
          <w:szCs w:val="30"/>
          <w:lang w:val="en-US" w:eastAsia="zh-CN"/>
        </w:rPr>
        <w:t>0元。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ascii="仿宋_GB2312" w:eastAsia="仿宋_GB2312"/>
          <w:sz w:val="30"/>
          <w:szCs w:val="30"/>
        </w:rPr>
        <w:t>20</w:t>
      </w:r>
      <w:r>
        <w:rPr>
          <w:rFonts w:ascii="仿宋_GB2312" w:eastAsia="仿宋_GB2312"/>
          <w:color w:val="auto"/>
          <w:sz w:val="30"/>
          <w:szCs w:val="30"/>
        </w:rPr>
        <w:t>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2019当年无出国预算，亦无出国费用产生</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2019年无因公出国事项</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14881.5</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年本部门机关运行经费支出</w:t>
      </w:r>
      <w:r>
        <w:rPr>
          <w:rFonts w:hint="eastAsia" w:ascii="仿宋_GB2312" w:eastAsia="仿宋_GB2312"/>
          <w:color w:val="auto"/>
          <w:sz w:val="30"/>
          <w:szCs w:val="30"/>
          <w:lang w:val="en-US" w:eastAsia="zh-CN"/>
        </w:rPr>
        <w:t>240600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年12月31日，本部门共有车辆</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年本部门政府采购支出总额</w:t>
      </w:r>
      <w:r>
        <w:rPr>
          <w:rFonts w:hint="eastAsia" w:ascii="仿宋_GB2312" w:eastAsia="仿宋_GB2312"/>
          <w:color w:val="auto"/>
          <w:sz w:val="30"/>
          <w:szCs w:val="30"/>
          <w:lang w:val="en-US" w:eastAsia="zh-CN"/>
        </w:rPr>
        <w:t>299730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w:t>
      </w:r>
      <w:r>
        <w:rPr>
          <w:rFonts w:hint="eastAsia" w:ascii="仿宋_GB2312" w:eastAsia="仿宋_GB2312"/>
          <w:color w:val="auto"/>
          <w:sz w:val="30"/>
          <w:szCs w:val="30"/>
          <w:lang w:eastAsia="zh-CN"/>
        </w:rPr>
        <w:t>购置残疾儿童辅助器具</w:t>
      </w:r>
      <w:r>
        <w:rPr>
          <w:rFonts w:hint="eastAsia" w:ascii="仿宋_GB2312" w:eastAsia="仿宋_GB2312"/>
          <w:color w:val="auto"/>
          <w:sz w:val="30"/>
          <w:szCs w:val="30"/>
          <w:lang w:val="en-US" w:eastAsia="zh-CN"/>
        </w:rPr>
        <w:t>159730</w:t>
      </w:r>
      <w:r>
        <w:rPr>
          <w:rFonts w:hint="eastAsia" w:ascii="仿宋_GB2312" w:eastAsia="仿宋_GB2312"/>
          <w:color w:val="auto"/>
          <w:sz w:val="30"/>
          <w:szCs w:val="30"/>
        </w:rPr>
        <w:t>。</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楷体_GB2312" w:eastAsia="楷体_GB2312"/>
          <w:b w:val="0"/>
          <w:bCs/>
          <w:sz w:val="30"/>
          <w:szCs w:val="30"/>
          <w:lang w:val="en-US" w:eastAsia="zh-CN"/>
        </w:rPr>
      </w:pPr>
      <w:r>
        <w:rPr>
          <w:rFonts w:hint="eastAsia" w:ascii="楷体_GB2312" w:eastAsia="楷体_GB2312"/>
          <w:b w:val="0"/>
          <w:bCs/>
          <w:sz w:val="30"/>
          <w:szCs w:val="30"/>
          <w:lang w:val="en-US" w:eastAsia="zh-CN"/>
        </w:rPr>
        <w:t>2019年我单位未组织第三方组织绩效评价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163E8"/>
    <w:rsid w:val="007D2BBC"/>
    <w:rsid w:val="007E1FCC"/>
    <w:rsid w:val="00897FD8"/>
    <w:rsid w:val="008A7621"/>
    <w:rsid w:val="00945227"/>
    <w:rsid w:val="009A0C7F"/>
    <w:rsid w:val="00A31C95"/>
    <w:rsid w:val="00A41A61"/>
    <w:rsid w:val="00A47D7A"/>
    <w:rsid w:val="00A52996"/>
    <w:rsid w:val="00A91C19"/>
    <w:rsid w:val="00B8685C"/>
    <w:rsid w:val="00B86F79"/>
    <w:rsid w:val="00D916B6"/>
    <w:rsid w:val="00EC2F0E"/>
    <w:rsid w:val="00EE1E77"/>
    <w:rsid w:val="00F03FAA"/>
    <w:rsid w:val="00F07990"/>
    <w:rsid w:val="00F723F6"/>
    <w:rsid w:val="00F7394E"/>
    <w:rsid w:val="00F86650"/>
    <w:rsid w:val="08143318"/>
    <w:rsid w:val="11810165"/>
    <w:rsid w:val="17542C27"/>
    <w:rsid w:val="19C568F1"/>
    <w:rsid w:val="1A4222B5"/>
    <w:rsid w:val="22A94633"/>
    <w:rsid w:val="243A5B41"/>
    <w:rsid w:val="2DCC25DE"/>
    <w:rsid w:val="2EE67926"/>
    <w:rsid w:val="35130FCB"/>
    <w:rsid w:val="360B20BA"/>
    <w:rsid w:val="382A0E89"/>
    <w:rsid w:val="3C7A28A0"/>
    <w:rsid w:val="3D065201"/>
    <w:rsid w:val="3EC175F5"/>
    <w:rsid w:val="3F296677"/>
    <w:rsid w:val="417B37C9"/>
    <w:rsid w:val="41B31F60"/>
    <w:rsid w:val="44D554E7"/>
    <w:rsid w:val="46792FC7"/>
    <w:rsid w:val="47C33B4A"/>
    <w:rsid w:val="496A3C0C"/>
    <w:rsid w:val="4E805734"/>
    <w:rsid w:val="506F46AB"/>
    <w:rsid w:val="50B56FCA"/>
    <w:rsid w:val="530A5A77"/>
    <w:rsid w:val="58751B5B"/>
    <w:rsid w:val="5DA41FD0"/>
    <w:rsid w:val="61C5556F"/>
    <w:rsid w:val="66D00E75"/>
    <w:rsid w:val="6B241FD1"/>
    <w:rsid w:val="6BE428EE"/>
    <w:rsid w:val="6BF11370"/>
    <w:rsid w:val="6D151597"/>
    <w:rsid w:val="6D75333B"/>
    <w:rsid w:val="7158313B"/>
    <w:rsid w:val="77E17DD9"/>
    <w:rsid w:val="7A0344C4"/>
    <w:rsid w:val="7CDD3E62"/>
    <w:rsid w:val="7F31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rmal_4"/>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15</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公举王子</cp:lastModifiedBy>
  <cp:lastPrinted>2020-02-28T08:03:00Z</cp:lastPrinted>
  <dcterms:modified xsi:type="dcterms:W3CDTF">2020-10-10T02:28:56Z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