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1B" w:rsidRDefault="0072300D">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附件1：甘肃省</w:t>
      </w:r>
      <w:proofErr w:type="gramStart"/>
      <w:r>
        <w:rPr>
          <w:rFonts w:ascii="仿宋_GB2312" w:eastAsia="仿宋_GB2312" w:hAnsi="宋体" w:cs="宋体" w:hint="eastAsia"/>
          <w:b/>
          <w:bCs/>
          <w:sz w:val="24"/>
          <w:szCs w:val="24"/>
        </w:rPr>
        <w:t>临夏州积石山</w:t>
      </w:r>
      <w:proofErr w:type="gramEnd"/>
      <w:r>
        <w:rPr>
          <w:rFonts w:ascii="仿宋_GB2312" w:eastAsia="仿宋_GB2312" w:hAnsi="宋体" w:cs="宋体" w:hint="eastAsia"/>
          <w:b/>
          <w:bCs/>
          <w:sz w:val="24"/>
          <w:szCs w:val="24"/>
        </w:rPr>
        <w:t>县残疾人联合会[本级]2019年度</w:t>
      </w:r>
      <w:r>
        <w:rPr>
          <w:rFonts w:ascii="仿宋_GB2312" w:eastAsia="仿宋_GB2312" w:hAnsi="宋体" w:cs="宋体"/>
          <w:b/>
          <w:bCs/>
          <w:sz w:val="24"/>
          <w:szCs w:val="24"/>
        </w:rPr>
        <w:t>部门决算情况说明</w:t>
      </w:r>
    </w:p>
    <w:p w:rsidR="009B751B" w:rsidRDefault="009B751B"/>
    <w:p w:rsidR="009B751B" w:rsidRDefault="0072300D">
      <w:pPr>
        <w:jc w:val="center"/>
        <w:rPr>
          <w:rFonts w:ascii="方正小标宋简体" w:eastAsia="方正小标宋简体"/>
          <w:sz w:val="36"/>
          <w:szCs w:val="36"/>
        </w:rPr>
      </w:pPr>
      <w:r>
        <w:rPr>
          <w:rFonts w:ascii="方正小标宋简体" w:eastAsia="方正小标宋简体" w:hint="eastAsia"/>
          <w:sz w:val="36"/>
          <w:szCs w:val="36"/>
        </w:rPr>
        <w:t>甘肃省临夏</w:t>
      </w:r>
      <w:proofErr w:type="gramStart"/>
      <w:r>
        <w:rPr>
          <w:rFonts w:ascii="方正小标宋简体" w:eastAsia="方正小标宋简体" w:hint="eastAsia"/>
          <w:sz w:val="36"/>
          <w:szCs w:val="36"/>
        </w:rPr>
        <w:t>州积石山县</w:t>
      </w:r>
      <w:r w:rsidR="00CE7586">
        <w:rPr>
          <w:rFonts w:ascii="方正小标宋简体" w:eastAsia="方正小标宋简体" w:hint="eastAsia"/>
          <w:sz w:val="36"/>
          <w:szCs w:val="36"/>
        </w:rPr>
        <w:t>吹麻滩</w:t>
      </w:r>
      <w:proofErr w:type="gramEnd"/>
      <w:r w:rsidR="00CE7586">
        <w:rPr>
          <w:rFonts w:ascii="方正小标宋简体" w:eastAsia="方正小标宋简体" w:hint="eastAsia"/>
          <w:sz w:val="36"/>
          <w:szCs w:val="36"/>
        </w:rPr>
        <w:t>初级中学</w:t>
      </w:r>
      <w:r>
        <w:rPr>
          <w:rFonts w:ascii="方正小标宋简体" w:eastAsia="方正小标宋简体" w:hint="eastAsia"/>
          <w:sz w:val="36"/>
          <w:szCs w:val="36"/>
        </w:rPr>
        <w:t>[本级]2019年度部门决算情况说明</w:t>
      </w:r>
    </w:p>
    <w:p w:rsidR="009B751B" w:rsidRDefault="009B751B">
      <w:pPr>
        <w:rPr>
          <w:rFonts w:ascii="仿宋_GB2312" w:eastAsia="仿宋_GB2312"/>
          <w:sz w:val="30"/>
          <w:szCs w:val="30"/>
        </w:rPr>
      </w:pPr>
    </w:p>
    <w:p w:rsidR="009B751B" w:rsidRDefault="0072300D">
      <w:pPr>
        <w:ind w:firstLineChars="200" w:firstLine="600"/>
        <w:rPr>
          <w:rFonts w:ascii="黑体" w:eastAsia="黑体" w:hAnsi="黑体"/>
          <w:sz w:val="30"/>
          <w:szCs w:val="30"/>
        </w:rPr>
      </w:pPr>
      <w:r>
        <w:rPr>
          <w:rFonts w:ascii="黑体" w:eastAsia="黑体" w:hAnsi="黑体" w:hint="eastAsia"/>
          <w:sz w:val="30"/>
          <w:szCs w:val="30"/>
        </w:rPr>
        <w:t>一、部门基本情况</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（一）职能职责</w:t>
      </w:r>
    </w:p>
    <w:p w:rsidR="009B751B" w:rsidRDefault="0072300D">
      <w:pPr>
        <w:ind w:firstLineChars="200" w:firstLine="600"/>
        <w:rPr>
          <w:rFonts w:ascii="仿宋_GB2312" w:eastAsia="仿宋_GB2312" w:hint="eastAsia"/>
          <w:sz w:val="30"/>
          <w:szCs w:val="30"/>
        </w:rPr>
      </w:pPr>
      <w:r>
        <w:rPr>
          <w:rFonts w:ascii="仿宋_GB2312" w:eastAsia="仿宋_GB2312" w:hint="eastAsia"/>
          <w:sz w:val="30"/>
          <w:szCs w:val="30"/>
        </w:rPr>
        <w:t>开展</w:t>
      </w:r>
      <w:r w:rsidR="00E72AC1">
        <w:rPr>
          <w:rFonts w:ascii="仿宋_GB2312" w:eastAsia="仿宋_GB2312" w:hint="eastAsia"/>
          <w:sz w:val="30"/>
          <w:szCs w:val="30"/>
        </w:rPr>
        <w:t>柳沟乡及</w:t>
      </w:r>
      <w:r w:rsidR="00E72AC1">
        <w:rPr>
          <w:rFonts w:ascii="仿宋_GB2312" w:eastAsia="仿宋_GB2312"/>
          <w:sz w:val="30"/>
          <w:szCs w:val="30"/>
        </w:rPr>
        <w:t>友谊小学</w:t>
      </w:r>
      <w:r w:rsidR="00E72AC1">
        <w:rPr>
          <w:rFonts w:ascii="仿宋_GB2312" w:eastAsia="仿宋_GB2312" w:hint="eastAsia"/>
          <w:sz w:val="30"/>
          <w:szCs w:val="30"/>
        </w:rPr>
        <w:t>义务教育</w:t>
      </w:r>
      <w:r w:rsidR="00E72AC1">
        <w:rPr>
          <w:rFonts w:ascii="仿宋_GB2312" w:eastAsia="仿宋_GB2312"/>
          <w:sz w:val="30"/>
          <w:szCs w:val="30"/>
        </w:rPr>
        <w:t>初中</w:t>
      </w:r>
      <w:r w:rsidR="00E72AC1">
        <w:rPr>
          <w:rFonts w:ascii="仿宋_GB2312" w:eastAsia="仿宋_GB2312" w:hint="eastAsia"/>
          <w:sz w:val="30"/>
          <w:szCs w:val="30"/>
        </w:rPr>
        <w:t>教育教学</w:t>
      </w:r>
      <w:r>
        <w:rPr>
          <w:rFonts w:ascii="仿宋_GB2312" w:eastAsia="仿宋_GB2312" w:hint="eastAsia"/>
          <w:sz w:val="30"/>
          <w:szCs w:val="30"/>
        </w:rPr>
        <w:t>工作，</w:t>
      </w:r>
      <w:r w:rsidR="000234B4">
        <w:rPr>
          <w:rFonts w:ascii="仿宋_GB2312" w:eastAsia="仿宋_GB2312" w:hint="eastAsia"/>
          <w:sz w:val="30"/>
          <w:szCs w:val="30"/>
        </w:rPr>
        <w:t>全面推进</w:t>
      </w:r>
      <w:r w:rsidR="000234B4">
        <w:rPr>
          <w:rFonts w:ascii="仿宋_GB2312" w:eastAsia="仿宋_GB2312"/>
          <w:sz w:val="30"/>
          <w:szCs w:val="30"/>
        </w:rPr>
        <w:t>素质教育，创建生态教育</w:t>
      </w:r>
      <w:r w:rsidR="000234B4">
        <w:rPr>
          <w:rFonts w:ascii="仿宋_GB2312" w:eastAsia="仿宋_GB2312" w:hint="eastAsia"/>
          <w:sz w:val="30"/>
          <w:szCs w:val="30"/>
        </w:rPr>
        <w:t>育人</w:t>
      </w:r>
      <w:r w:rsidR="000234B4">
        <w:rPr>
          <w:rFonts w:ascii="仿宋_GB2312" w:eastAsia="仿宋_GB2312"/>
          <w:sz w:val="30"/>
          <w:szCs w:val="30"/>
        </w:rPr>
        <w:t>环境。</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（二）机构设置</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积石山</w:t>
      </w:r>
      <w:proofErr w:type="gramStart"/>
      <w:r>
        <w:rPr>
          <w:rFonts w:ascii="仿宋_GB2312" w:eastAsia="仿宋_GB2312" w:hint="eastAsia"/>
          <w:sz w:val="30"/>
          <w:szCs w:val="30"/>
        </w:rPr>
        <w:t>县</w:t>
      </w:r>
      <w:r w:rsidR="000234B4">
        <w:rPr>
          <w:rFonts w:ascii="仿宋_GB2312" w:eastAsia="仿宋_GB2312" w:hint="eastAsia"/>
          <w:sz w:val="30"/>
          <w:szCs w:val="30"/>
        </w:rPr>
        <w:t>吹麻滩</w:t>
      </w:r>
      <w:proofErr w:type="gramEnd"/>
      <w:r w:rsidR="000234B4">
        <w:rPr>
          <w:rFonts w:ascii="仿宋_GB2312" w:eastAsia="仿宋_GB2312" w:hint="eastAsia"/>
          <w:sz w:val="30"/>
          <w:szCs w:val="30"/>
        </w:rPr>
        <w:t>初级中学</w:t>
      </w:r>
      <w:r>
        <w:rPr>
          <w:rFonts w:ascii="仿宋_GB2312" w:eastAsia="仿宋_GB2312" w:hint="eastAsia"/>
          <w:sz w:val="30"/>
          <w:szCs w:val="30"/>
        </w:rPr>
        <w:t>为全额拨款单位。</w:t>
      </w:r>
      <w:r w:rsidR="000234B4">
        <w:rPr>
          <w:rFonts w:ascii="仿宋_GB2312" w:eastAsia="仿宋_GB2312" w:hint="eastAsia"/>
          <w:sz w:val="30"/>
          <w:szCs w:val="30"/>
        </w:rPr>
        <w:t>下设教导处</w:t>
      </w:r>
      <w:r w:rsidR="000234B4">
        <w:rPr>
          <w:rFonts w:ascii="仿宋_GB2312" w:eastAsia="仿宋_GB2312"/>
          <w:sz w:val="30"/>
          <w:szCs w:val="30"/>
        </w:rPr>
        <w:t>、德育处</w:t>
      </w:r>
      <w:r w:rsidR="000234B4">
        <w:rPr>
          <w:rFonts w:ascii="仿宋_GB2312" w:eastAsia="仿宋_GB2312" w:hint="eastAsia"/>
          <w:sz w:val="30"/>
          <w:szCs w:val="30"/>
        </w:rPr>
        <w:t>、</w:t>
      </w:r>
      <w:r w:rsidR="000234B4">
        <w:rPr>
          <w:rFonts w:ascii="仿宋_GB2312" w:eastAsia="仿宋_GB2312"/>
          <w:sz w:val="30"/>
          <w:szCs w:val="30"/>
        </w:rPr>
        <w:t>团委</w:t>
      </w:r>
      <w:r w:rsidR="000234B4">
        <w:rPr>
          <w:rFonts w:ascii="仿宋_GB2312" w:eastAsia="仿宋_GB2312" w:hint="eastAsia"/>
          <w:sz w:val="30"/>
          <w:szCs w:val="30"/>
        </w:rPr>
        <w:t>、</w:t>
      </w:r>
      <w:r w:rsidR="000234B4">
        <w:rPr>
          <w:rFonts w:ascii="仿宋_GB2312" w:eastAsia="仿宋_GB2312"/>
          <w:sz w:val="30"/>
          <w:szCs w:val="30"/>
        </w:rPr>
        <w:t>总务处、校办室等</w:t>
      </w:r>
      <w:r>
        <w:rPr>
          <w:rFonts w:ascii="仿宋_GB2312" w:eastAsia="仿宋_GB2312" w:hint="eastAsia"/>
          <w:sz w:val="30"/>
          <w:szCs w:val="30"/>
        </w:rPr>
        <w:t>，人数</w:t>
      </w:r>
      <w:r w:rsidR="00E72AC1">
        <w:rPr>
          <w:rFonts w:ascii="仿宋_GB2312" w:eastAsia="仿宋_GB2312" w:hint="eastAsia"/>
          <w:sz w:val="30"/>
          <w:szCs w:val="30"/>
        </w:rPr>
        <w:t>141</w:t>
      </w:r>
      <w:r>
        <w:rPr>
          <w:rFonts w:ascii="仿宋_GB2312" w:eastAsia="仿宋_GB2312" w:hint="eastAsia"/>
          <w:sz w:val="30"/>
          <w:szCs w:val="30"/>
        </w:rPr>
        <w:t>人</w:t>
      </w:r>
      <w:r w:rsidR="000234B4">
        <w:rPr>
          <w:rFonts w:ascii="仿宋_GB2312" w:eastAsia="仿宋_GB2312" w:hint="eastAsia"/>
          <w:sz w:val="30"/>
          <w:szCs w:val="30"/>
        </w:rPr>
        <w:t>。</w:t>
      </w:r>
      <w:bookmarkStart w:id="0" w:name="_GoBack"/>
      <w:bookmarkEnd w:id="0"/>
    </w:p>
    <w:p w:rsidR="009B751B" w:rsidRDefault="0072300D">
      <w:pPr>
        <w:ind w:firstLineChars="200" w:firstLine="600"/>
        <w:rPr>
          <w:rFonts w:ascii="黑体" w:eastAsia="黑体" w:hAnsi="黑体"/>
          <w:sz w:val="30"/>
          <w:szCs w:val="30"/>
        </w:rPr>
      </w:pPr>
      <w:r>
        <w:rPr>
          <w:rFonts w:ascii="黑体" w:eastAsia="黑体" w:hAnsi="黑体" w:hint="eastAsia"/>
          <w:sz w:val="30"/>
          <w:szCs w:val="30"/>
        </w:rPr>
        <w:t>二、2019年度部门决算报表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w:t>
      </w:r>
      <w:proofErr w:type="gramStart"/>
      <w:r>
        <w:rPr>
          <w:rFonts w:ascii="仿宋_GB2312" w:eastAsia="仿宋_GB2312" w:hint="eastAsia"/>
          <w:sz w:val="30"/>
          <w:szCs w:val="30"/>
        </w:rPr>
        <w:t>一</w:t>
      </w:r>
      <w:proofErr w:type="gramEnd"/>
      <w:r>
        <w:rPr>
          <w:rFonts w:ascii="仿宋_GB2312" w:eastAsia="仿宋_GB2312" w:hint="eastAsia"/>
          <w:sz w:val="30"/>
          <w:szCs w:val="30"/>
        </w:rPr>
        <w:t>：收入支出决算总表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表二：收入决算表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表三：支出决算表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表七：政府性基金预算财政拨款收入支出决算表</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表八：一般公共预算财政拨款“三公”经费支出决算表</w:t>
      </w:r>
    </w:p>
    <w:p w:rsidR="009B751B" w:rsidRDefault="009B751B">
      <w:pPr>
        <w:ind w:firstLineChars="200" w:firstLine="600"/>
        <w:rPr>
          <w:rFonts w:ascii="仿宋_GB2312" w:eastAsia="仿宋_GB2312"/>
          <w:sz w:val="30"/>
          <w:szCs w:val="30"/>
        </w:rPr>
      </w:pPr>
    </w:p>
    <w:p w:rsidR="009B751B" w:rsidRDefault="0072300D">
      <w:pPr>
        <w:ind w:firstLineChars="200" w:firstLine="600"/>
        <w:rPr>
          <w:rFonts w:ascii="黑体" w:eastAsia="黑体" w:hAnsi="黑体"/>
          <w:sz w:val="30"/>
          <w:szCs w:val="30"/>
        </w:rPr>
      </w:pPr>
      <w:r>
        <w:rPr>
          <w:rFonts w:ascii="黑体" w:eastAsia="黑体" w:hAnsi="黑体" w:hint="eastAsia"/>
          <w:sz w:val="30"/>
          <w:szCs w:val="30"/>
        </w:rPr>
        <w:lastRenderedPageBreak/>
        <w:t>三、2019年度部门决算情况说明</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9B751B" w:rsidRDefault="0072300D" w:rsidP="00C73833">
      <w:pPr>
        <w:widowControl/>
        <w:rPr>
          <w:rFonts w:ascii="仿宋_GB2312" w:eastAsia="仿宋_GB2312"/>
          <w:sz w:val="30"/>
          <w:szCs w:val="30"/>
        </w:rPr>
      </w:pPr>
      <w:r>
        <w:rPr>
          <w:rFonts w:ascii="仿宋_GB2312" w:eastAsia="仿宋_GB2312" w:hint="eastAsia"/>
          <w:sz w:val="30"/>
          <w:szCs w:val="30"/>
        </w:rPr>
        <w:t xml:space="preserve"> 本部门2019年度收入总计</w:t>
      </w:r>
      <w:r w:rsidR="00C73833" w:rsidRPr="00C73833">
        <w:rPr>
          <w:rFonts w:ascii="仿宋_GB2312" w:eastAsia="仿宋_GB2312" w:hint="eastAsia"/>
          <w:sz w:val="30"/>
          <w:szCs w:val="30"/>
        </w:rPr>
        <w:t>16,582,061.12</w:t>
      </w:r>
      <w:r>
        <w:rPr>
          <w:rFonts w:ascii="仿宋_GB2312" w:eastAsia="仿宋_GB2312" w:hint="eastAsia"/>
          <w:sz w:val="30"/>
          <w:szCs w:val="30"/>
        </w:rPr>
        <w:t>元，支出总计</w:t>
      </w:r>
      <w:r w:rsidR="00C73833" w:rsidRPr="00C73833">
        <w:rPr>
          <w:rFonts w:ascii="仿宋_GB2312" w:eastAsia="仿宋_GB2312" w:hint="eastAsia"/>
          <w:sz w:val="30"/>
          <w:szCs w:val="30"/>
        </w:rPr>
        <w:t>17,058,721.85</w:t>
      </w:r>
      <w:r>
        <w:rPr>
          <w:rFonts w:ascii="仿宋_GB2312" w:eastAsia="仿宋_GB2312" w:hint="eastAsia"/>
          <w:sz w:val="30"/>
          <w:szCs w:val="30"/>
        </w:rPr>
        <w:t>元。</w:t>
      </w:r>
    </w:p>
    <w:p w:rsidR="009B751B" w:rsidRDefault="0072300D" w:rsidP="00C73833">
      <w:pPr>
        <w:widowControl/>
        <w:rPr>
          <w:rFonts w:ascii="仿宋_GB2312" w:eastAsia="仿宋_GB2312"/>
          <w:sz w:val="30"/>
          <w:szCs w:val="30"/>
        </w:rPr>
      </w:pPr>
      <w:r>
        <w:rPr>
          <w:rFonts w:ascii="仿宋_GB2312" w:eastAsia="仿宋_GB2312" w:hint="eastAsia"/>
          <w:sz w:val="30"/>
          <w:szCs w:val="30"/>
        </w:rPr>
        <w:t>本部门2019年度收入合计</w:t>
      </w:r>
      <w:r w:rsidR="00C73833" w:rsidRPr="00C73833">
        <w:rPr>
          <w:rFonts w:ascii="仿宋_GB2312" w:eastAsia="仿宋_GB2312" w:hint="eastAsia"/>
          <w:sz w:val="30"/>
          <w:szCs w:val="30"/>
        </w:rPr>
        <w:t>16,582,061.12</w:t>
      </w:r>
      <w:r>
        <w:rPr>
          <w:rFonts w:ascii="仿宋_GB2312" w:eastAsia="仿宋_GB2312" w:hint="eastAsia"/>
          <w:sz w:val="30"/>
          <w:szCs w:val="30"/>
        </w:rPr>
        <w:t>元，其中：财政拨款收入</w:t>
      </w:r>
      <w:r w:rsidR="00C73833" w:rsidRPr="00C73833">
        <w:rPr>
          <w:rFonts w:ascii="仿宋_GB2312" w:eastAsia="仿宋_GB2312" w:hint="eastAsia"/>
          <w:sz w:val="30"/>
          <w:szCs w:val="30"/>
        </w:rPr>
        <w:t>14,272,035.62</w:t>
      </w:r>
      <w:r>
        <w:rPr>
          <w:rFonts w:ascii="仿宋_GB2312" w:eastAsia="仿宋_GB2312" w:hint="eastAsia"/>
          <w:sz w:val="30"/>
          <w:szCs w:val="30"/>
        </w:rPr>
        <w:t>元，</w:t>
      </w:r>
      <w:r w:rsidR="00C73833">
        <w:rPr>
          <w:rFonts w:ascii="仿宋_GB2312" w:eastAsia="仿宋_GB2312" w:hint="eastAsia"/>
          <w:sz w:val="30"/>
          <w:szCs w:val="30"/>
        </w:rPr>
        <w:t>上级补助</w:t>
      </w:r>
      <w:r>
        <w:rPr>
          <w:rFonts w:ascii="仿宋_GB2312" w:eastAsia="仿宋_GB2312" w:hint="eastAsia"/>
          <w:sz w:val="30"/>
          <w:szCs w:val="30"/>
        </w:rPr>
        <w:t>收入</w:t>
      </w:r>
      <w:r w:rsidR="00C73833" w:rsidRPr="00C73833">
        <w:rPr>
          <w:rFonts w:ascii="仿宋_GB2312" w:eastAsia="仿宋_GB2312" w:hint="eastAsia"/>
          <w:sz w:val="30"/>
          <w:szCs w:val="30"/>
        </w:rPr>
        <w:t>2,310,025.50</w:t>
      </w:r>
      <w:r>
        <w:rPr>
          <w:rFonts w:ascii="仿宋_GB2312" w:eastAsia="仿宋_GB2312" w:hint="eastAsia"/>
          <w:sz w:val="30"/>
          <w:szCs w:val="30"/>
        </w:rPr>
        <w:t>元。</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本部门2019年度支出合计3866227.15元。。</w:t>
      </w:r>
    </w:p>
    <w:p w:rsidR="009B751B" w:rsidRDefault="0072300D" w:rsidP="00C73833">
      <w:pPr>
        <w:widowControl/>
        <w:rPr>
          <w:rFonts w:ascii="仿宋_GB2312" w:eastAsia="仿宋_GB2312"/>
          <w:sz w:val="30"/>
          <w:szCs w:val="30"/>
        </w:rPr>
      </w:pPr>
      <w:r>
        <w:rPr>
          <w:rFonts w:ascii="仿宋_GB2312" w:eastAsia="仿宋_GB2312" w:hint="eastAsia"/>
          <w:sz w:val="30"/>
          <w:szCs w:val="30"/>
        </w:rPr>
        <w:t>本部门2019年度年末结转和结余</w:t>
      </w:r>
      <w:r w:rsidR="00C73833" w:rsidRPr="00C73833">
        <w:rPr>
          <w:rFonts w:ascii="仿宋_GB2312" w:eastAsia="仿宋_GB2312" w:hint="eastAsia"/>
          <w:sz w:val="30"/>
          <w:szCs w:val="30"/>
        </w:rPr>
        <w:t>506,139.25</w:t>
      </w:r>
      <w:r>
        <w:rPr>
          <w:rFonts w:ascii="仿宋_GB2312" w:eastAsia="仿宋_GB2312" w:hint="eastAsia"/>
          <w:sz w:val="30"/>
          <w:szCs w:val="30"/>
        </w:rPr>
        <w:t>元。</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9B751B" w:rsidRDefault="0072300D" w:rsidP="00C73833">
      <w:pPr>
        <w:widowControl/>
        <w:rPr>
          <w:rFonts w:ascii="仿宋_GB2312" w:eastAsia="仿宋_GB2312"/>
          <w:sz w:val="30"/>
          <w:szCs w:val="30"/>
        </w:rPr>
      </w:pPr>
      <w:r>
        <w:rPr>
          <w:rFonts w:ascii="仿宋_GB2312" w:eastAsia="仿宋_GB2312" w:hint="eastAsia"/>
          <w:sz w:val="30"/>
          <w:szCs w:val="30"/>
        </w:rPr>
        <w:t>本部门2019年度财政拨款收入</w:t>
      </w:r>
      <w:r w:rsidR="00C73833" w:rsidRPr="00C73833">
        <w:rPr>
          <w:rFonts w:ascii="仿宋_GB2312" w:eastAsia="仿宋_GB2312" w:hint="eastAsia"/>
          <w:sz w:val="30"/>
          <w:szCs w:val="30"/>
        </w:rPr>
        <w:t>14,272,035.62</w:t>
      </w:r>
      <w:r>
        <w:rPr>
          <w:rFonts w:ascii="仿宋_GB2312" w:eastAsia="仿宋_GB2312" w:hint="eastAsia"/>
          <w:sz w:val="30"/>
          <w:szCs w:val="30"/>
        </w:rPr>
        <w:t>元，本部门2019年度财政拨款支出</w:t>
      </w:r>
      <w:r w:rsidR="00C73833" w:rsidRPr="00C73833">
        <w:rPr>
          <w:rFonts w:ascii="仿宋_GB2312" w:eastAsia="仿宋_GB2312" w:hint="eastAsia"/>
          <w:sz w:val="30"/>
          <w:szCs w:val="30"/>
        </w:rPr>
        <w:t>14,748,696.35</w:t>
      </w:r>
      <w:r>
        <w:rPr>
          <w:rFonts w:ascii="仿宋_GB2312" w:eastAsia="仿宋_GB2312" w:hint="eastAsia"/>
          <w:sz w:val="30"/>
          <w:szCs w:val="30"/>
        </w:rPr>
        <w:t>元。</w:t>
      </w:r>
    </w:p>
    <w:p w:rsidR="009B751B" w:rsidRDefault="0072300D" w:rsidP="00C73833">
      <w:pPr>
        <w:widowControl/>
        <w:rPr>
          <w:rFonts w:ascii="仿宋_GB2312" w:eastAsia="仿宋_GB2312"/>
          <w:sz w:val="30"/>
          <w:szCs w:val="30"/>
        </w:rPr>
      </w:pPr>
      <w:r>
        <w:rPr>
          <w:rFonts w:ascii="仿宋_GB2312" w:eastAsia="仿宋_GB2312" w:hint="eastAsia"/>
          <w:sz w:val="30"/>
          <w:szCs w:val="30"/>
        </w:rPr>
        <w:t>本部门2019年度财政拨款支出主要用于以下方面：一般公共服务支出</w:t>
      </w:r>
      <w:r w:rsidR="00C73833">
        <w:rPr>
          <w:rFonts w:ascii="仿宋_GB2312" w:eastAsia="仿宋_GB2312" w:hint="eastAsia"/>
          <w:sz w:val="30"/>
          <w:szCs w:val="30"/>
        </w:rPr>
        <w:t>2,058,785.</w:t>
      </w:r>
      <w:r>
        <w:rPr>
          <w:rFonts w:ascii="仿宋_GB2312" w:eastAsia="仿宋_GB2312" w:hint="eastAsia"/>
          <w:sz w:val="30"/>
          <w:szCs w:val="30"/>
        </w:rPr>
        <w:t>元。</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C73833" w:rsidRPr="00BC2853" w:rsidRDefault="0072300D" w:rsidP="00C73833">
      <w:pPr>
        <w:widowControl/>
        <w:rPr>
          <w:rFonts w:ascii="仿宋_GB2312" w:eastAsia="仿宋_GB2312"/>
          <w:sz w:val="30"/>
          <w:szCs w:val="30"/>
        </w:rPr>
      </w:pPr>
      <w:r>
        <w:rPr>
          <w:rFonts w:ascii="仿宋_GB2312" w:eastAsia="仿宋_GB2312" w:hint="eastAsia"/>
          <w:sz w:val="30"/>
          <w:szCs w:val="30"/>
        </w:rPr>
        <w:t>本部门2019年度一般公共财政拨款基本支出</w:t>
      </w:r>
      <w:r w:rsidR="00C73833" w:rsidRPr="00BC2853">
        <w:rPr>
          <w:rFonts w:ascii="仿宋_GB2312" w:eastAsia="仿宋_GB2312" w:hint="eastAsia"/>
          <w:sz w:val="30"/>
          <w:szCs w:val="30"/>
        </w:rPr>
        <w:t>14,748,696.35</w:t>
      </w:r>
    </w:p>
    <w:p w:rsidR="009B751B" w:rsidRDefault="0072300D" w:rsidP="00BC2853">
      <w:pPr>
        <w:widowControl/>
        <w:rPr>
          <w:rFonts w:ascii="仿宋_GB2312" w:eastAsia="仿宋_GB2312"/>
          <w:sz w:val="30"/>
          <w:szCs w:val="30"/>
        </w:rPr>
      </w:pPr>
      <w:r>
        <w:rPr>
          <w:rFonts w:ascii="仿宋_GB2312" w:eastAsia="仿宋_GB2312" w:hint="eastAsia"/>
          <w:sz w:val="30"/>
          <w:szCs w:val="30"/>
        </w:rPr>
        <w:t>元。</w:t>
      </w:r>
      <w:r w:rsidR="00C73833" w:rsidRPr="00BC2853">
        <w:rPr>
          <w:rFonts w:ascii="仿宋_GB2312" w:eastAsia="仿宋_GB2312" w:hint="eastAsia"/>
          <w:sz w:val="30"/>
          <w:szCs w:val="30"/>
        </w:rPr>
        <w:t>一般公共服务支出</w:t>
      </w:r>
      <w:r w:rsidR="00BC2853" w:rsidRPr="00BC2853">
        <w:rPr>
          <w:rFonts w:ascii="仿宋_GB2312" w:eastAsia="仿宋_GB2312" w:hint="eastAsia"/>
          <w:sz w:val="30"/>
          <w:szCs w:val="30"/>
        </w:rPr>
        <w:t>2,058,785元</w:t>
      </w:r>
      <w:r w:rsidR="00BC2853">
        <w:rPr>
          <w:rFonts w:ascii="仿宋_GB2312" w:eastAsia="仿宋_GB2312" w:hint="eastAsia"/>
          <w:sz w:val="30"/>
          <w:szCs w:val="30"/>
        </w:rPr>
        <w:t>，</w:t>
      </w:r>
      <w:r w:rsidR="00BC2853" w:rsidRPr="00BC2853">
        <w:rPr>
          <w:rFonts w:ascii="仿宋_GB2312" w:eastAsia="仿宋_GB2312" w:hint="eastAsia"/>
          <w:sz w:val="30"/>
          <w:szCs w:val="30"/>
        </w:rPr>
        <w:t>教育支出10,338,435.13元</w:t>
      </w:r>
      <w:r w:rsidR="00BC2853">
        <w:rPr>
          <w:rFonts w:ascii="仿宋_GB2312" w:eastAsia="仿宋_GB2312" w:hint="eastAsia"/>
          <w:sz w:val="30"/>
          <w:szCs w:val="30"/>
        </w:rPr>
        <w:t>，</w:t>
      </w:r>
      <w:r w:rsidR="00BC2853" w:rsidRPr="00BC2853">
        <w:rPr>
          <w:rFonts w:ascii="仿宋_GB2312" w:eastAsia="仿宋_GB2312" w:hint="eastAsia"/>
          <w:sz w:val="30"/>
          <w:szCs w:val="30"/>
        </w:rPr>
        <w:t>社会保障和就业支出2,351,476.22元</w:t>
      </w:r>
      <w:r w:rsidR="00BC2853">
        <w:rPr>
          <w:rFonts w:ascii="仿宋_GB2312" w:eastAsia="仿宋_GB2312" w:hint="eastAsia"/>
          <w:sz w:val="30"/>
          <w:szCs w:val="30"/>
        </w:rPr>
        <w:t>。</w:t>
      </w:r>
    </w:p>
    <w:p w:rsidR="009B751B" w:rsidRDefault="0072300D">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2019年度本部门“三公”经费支出0元。</w:t>
      </w:r>
    </w:p>
    <w:p w:rsidR="009B751B" w:rsidRDefault="0072300D">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9B751B" w:rsidRDefault="0072300D">
      <w:pPr>
        <w:ind w:firstLineChars="200" w:firstLine="600"/>
        <w:rPr>
          <w:rFonts w:ascii="仿宋_GB2312" w:eastAsia="仿宋_GB2312"/>
          <w:sz w:val="30"/>
          <w:szCs w:val="30"/>
        </w:rPr>
      </w:pPr>
      <w:r>
        <w:rPr>
          <w:rFonts w:ascii="仿宋_GB2312" w:eastAsia="仿宋_GB2312"/>
          <w:sz w:val="30"/>
          <w:szCs w:val="30"/>
        </w:rPr>
        <w:t>201</w:t>
      </w:r>
      <w:r>
        <w:rPr>
          <w:rFonts w:ascii="仿宋_GB2312" w:eastAsia="仿宋_GB2312" w:hint="eastAsia"/>
          <w:sz w:val="30"/>
          <w:szCs w:val="30"/>
        </w:rPr>
        <w:t>9年度本部门因公出国（境）费用0元，费用支出较年初</w:t>
      </w:r>
      <w:r>
        <w:rPr>
          <w:rFonts w:ascii="仿宋_GB2312" w:eastAsia="仿宋_GB2312" w:hint="eastAsia"/>
          <w:sz w:val="30"/>
          <w:szCs w:val="30"/>
        </w:rPr>
        <w:lastRenderedPageBreak/>
        <w:t>预算数增加0元，主要原因是2019当年无出国预算，亦无出国费用产生,较上年支出数增加0元，主要原因是2019年无因公出国事项。</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公务车购置费0元。</w:t>
      </w:r>
    </w:p>
    <w:p w:rsidR="009B751B" w:rsidRDefault="0072300D">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9B751B" w:rsidRDefault="0072300D">
      <w:pPr>
        <w:ind w:firstLineChars="200" w:firstLine="600"/>
        <w:rPr>
          <w:rFonts w:ascii="仿宋_GB2312" w:eastAsia="仿宋_GB2312"/>
          <w:sz w:val="30"/>
          <w:szCs w:val="30"/>
        </w:rPr>
      </w:pPr>
      <w:r>
        <w:rPr>
          <w:rFonts w:ascii="仿宋_GB2312" w:eastAsia="仿宋_GB2312" w:hint="eastAsia"/>
          <w:sz w:val="30"/>
          <w:szCs w:val="30"/>
        </w:rPr>
        <w:t>2019年度本部门因公出国（境）共计0个团组，0人；公务用车购置0辆，公务车保有量为</w:t>
      </w:r>
      <w:r w:rsidR="00BC2853">
        <w:rPr>
          <w:rFonts w:ascii="仿宋_GB2312" w:eastAsia="仿宋_GB2312"/>
          <w:sz w:val="30"/>
          <w:szCs w:val="30"/>
        </w:rPr>
        <w:t>0</w:t>
      </w:r>
      <w:r>
        <w:rPr>
          <w:rFonts w:ascii="仿宋_GB2312" w:eastAsia="仿宋_GB2312" w:hint="eastAsia"/>
          <w:sz w:val="30"/>
          <w:szCs w:val="30"/>
        </w:rPr>
        <w:t>辆；国内公务接待0批次，0人，其中：国内外事接待0批次，0人；国（境）外公务接待0批次，0人。2019年度本部门人均接待费0元，车均购置费0元，车均维护费</w:t>
      </w:r>
      <w:r w:rsidR="00BC2853">
        <w:rPr>
          <w:rFonts w:ascii="仿宋_GB2312" w:eastAsia="仿宋_GB2312"/>
          <w:sz w:val="30"/>
          <w:szCs w:val="30"/>
        </w:rPr>
        <w:t>0</w:t>
      </w:r>
      <w:r>
        <w:rPr>
          <w:rFonts w:ascii="仿宋_GB2312" w:eastAsia="仿宋_GB2312" w:hint="eastAsia"/>
          <w:sz w:val="30"/>
          <w:szCs w:val="30"/>
        </w:rPr>
        <w:t>元。</w:t>
      </w:r>
    </w:p>
    <w:p w:rsidR="009B751B" w:rsidRDefault="0072300D">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9B751B" w:rsidRDefault="0072300D">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w:t>
      </w:r>
      <w:r w:rsidR="00BC2853">
        <w:rPr>
          <w:rFonts w:ascii="仿宋_GB2312" w:eastAsia="仿宋_GB2312"/>
          <w:sz w:val="30"/>
          <w:szCs w:val="30"/>
        </w:rPr>
        <w:t>0</w:t>
      </w:r>
      <w:r>
        <w:rPr>
          <w:rFonts w:ascii="仿宋_GB2312" w:eastAsia="仿宋_GB2312" w:hint="eastAsia"/>
          <w:sz w:val="30"/>
          <w:szCs w:val="30"/>
        </w:rPr>
        <w:t>元，机关运行经费主要用于开支包括办公费、邮电费、差旅费、劳务费、信息网络及软件购置更新。</w:t>
      </w:r>
    </w:p>
    <w:p w:rsidR="009B751B" w:rsidRDefault="0072300D">
      <w:pPr>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截至2019年12月31日，本部门共有车辆</w:t>
      </w:r>
      <w:r w:rsidR="00BC2853">
        <w:rPr>
          <w:rFonts w:ascii="仿宋_GB2312" w:eastAsia="仿宋_GB2312"/>
          <w:sz w:val="30"/>
          <w:szCs w:val="30"/>
        </w:rPr>
        <w:t>0</w:t>
      </w:r>
      <w:r>
        <w:rPr>
          <w:rFonts w:ascii="仿宋_GB2312" w:eastAsia="仿宋_GB2312" w:hint="eastAsia"/>
          <w:sz w:val="30"/>
          <w:szCs w:val="30"/>
        </w:rPr>
        <w:t>辆，其中：领导干部用车0辆、一般公务用车1辆、一般执法执勤用车0辆、特种专业技术用车0辆、其他用车0辆。 单价50元以上通用设备0台（套），</w:t>
      </w:r>
      <w:proofErr w:type="gramStart"/>
      <w:r>
        <w:rPr>
          <w:rFonts w:ascii="仿宋_GB2312" w:eastAsia="仿宋_GB2312" w:hint="eastAsia"/>
          <w:sz w:val="30"/>
          <w:szCs w:val="30"/>
        </w:rPr>
        <w:t>单价元</w:t>
      </w:r>
      <w:proofErr w:type="gramEnd"/>
      <w:r>
        <w:rPr>
          <w:rFonts w:ascii="仿宋_GB2312" w:eastAsia="仿宋_GB2312" w:hint="eastAsia"/>
          <w:sz w:val="30"/>
          <w:szCs w:val="30"/>
        </w:rPr>
        <w:t>以上专用设备0台（套）。</w:t>
      </w:r>
    </w:p>
    <w:p w:rsidR="009B751B" w:rsidRDefault="0072300D">
      <w:pPr>
        <w:ind w:firstLineChars="200" w:firstLine="602"/>
        <w:rPr>
          <w:rFonts w:ascii="仿宋_GB2312" w:eastAsia="仿宋_GB2312"/>
          <w:sz w:val="30"/>
          <w:szCs w:val="30"/>
        </w:rPr>
      </w:pPr>
      <w:r>
        <w:rPr>
          <w:rFonts w:ascii="楷体_GB2312" w:eastAsia="楷体_GB2312" w:hint="eastAsia"/>
          <w:b/>
          <w:sz w:val="30"/>
          <w:szCs w:val="30"/>
        </w:rPr>
        <w:t>（三） 政府采购支出情况说明。</w:t>
      </w:r>
      <w:r>
        <w:rPr>
          <w:rFonts w:ascii="仿宋_GB2312" w:eastAsia="仿宋_GB2312" w:hint="eastAsia"/>
          <w:sz w:val="30"/>
          <w:szCs w:val="30"/>
        </w:rPr>
        <w:t>2019年本部门政府采购支出总额</w:t>
      </w:r>
      <w:r w:rsidR="00BC2853">
        <w:rPr>
          <w:rFonts w:ascii="仿宋_GB2312" w:eastAsia="仿宋_GB2312"/>
          <w:sz w:val="30"/>
          <w:szCs w:val="30"/>
        </w:rPr>
        <w:t>1</w:t>
      </w:r>
      <w:r w:rsidR="00BC2853">
        <w:rPr>
          <w:rFonts w:ascii="仿宋_GB2312" w:eastAsia="仿宋_GB2312" w:hint="eastAsia"/>
          <w:sz w:val="30"/>
          <w:szCs w:val="30"/>
        </w:rPr>
        <w:t>9973</w:t>
      </w:r>
      <w:r w:rsidR="00BC2853">
        <w:rPr>
          <w:rFonts w:ascii="仿宋_GB2312" w:eastAsia="仿宋_GB2312"/>
          <w:sz w:val="30"/>
          <w:szCs w:val="30"/>
        </w:rPr>
        <w:t>0</w:t>
      </w:r>
      <w:r>
        <w:rPr>
          <w:rFonts w:ascii="仿宋_GB2312" w:eastAsia="仿宋_GB2312" w:hint="eastAsia"/>
          <w:sz w:val="30"/>
          <w:szCs w:val="30"/>
        </w:rPr>
        <w:t>元</w:t>
      </w:r>
      <w:r w:rsidR="00BC2853">
        <w:rPr>
          <w:rFonts w:ascii="仿宋_GB2312" w:eastAsia="仿宋_GB2312" w:hint="eastAsia"/>
          <w:sz w:val="30"/>
          <w:szCs w:val="30"/>
        </w:rPr>
        <w:t>。</w:t>
      </w:r>
    </w:p>
    <w:p w:rsidR="009B751B" w:rsidRDefault="0072300D">
      <w:pPr>
        <w:spacing w:line="620" w:lineRule="exact"/>
        <w:ind w:firstLineChars="200" w:firstLine="602"/>
        <w:rPr>
          <w:rFonts w:ascii="楷体_GB2312" w:eastAsia="楷体_GB2312"/>
          <w:b/>
          <w:sz w:val="30"/>
          <w:szCs w:val="30"/>
        </w:rPr>
      </w:pPr>
      <w:r>
        <w:rPr>
          <w:rFonts w:ascii="楷体_GB2312" w:eastAsia="楷体_GB2312" w:hint="eastAsia"/>
          <w:b/>
          <w:sz w:val="30"/>
          <w:szCs w:val="30"/>
        </w:rPr>
        <w:t>（四）预算绩效管理情况说明</w:t>
      </w:r>
    </w:p>
    <w:p w:rsidR="009B751B" w:rsidRDefault="0072300D">
      <w:pPr>
        <w:spacing w:line="620" w:lineRule="exact"/>
        <w:ind w:firstLineChars="200" w:firstLine="600"/>
        <w:rPr>
          <w:rFonts w:ascii="楷体_GB2312" w:eastAsia="楷体_GB2312"/>
          <w:bCs/>
          <w:sz w:val="30"/>
          <w:szCs w:val="30"/>
        </w:rPr>
      </w:pPr>
      <w:r>
        <w:rPr>
          <w:rFonts w:ascii="楷体_GB2312" w:eastAsia="楷体_GB2312" w:hint="eastAsia"/>
          <w:bCs/>
          <w:sz w:val="30"/>
          <w:szCs w:val="30"/>
        </w:rPr>
        <w:lastRenderedPageBreak/>
        <w:t>2019年我单位未组织第三方组织绩效评价</w:t>
      </w:r>
    </w:p>
    <w:p w:rsidR="009B751B" w:rsidRDefault="0072300D">
      <w:pPr>
        <w:ind w:firstLineChars="200" w:firstLine="600"/>
        <w:rPr>
          <w:rFonts w:ascii="黑体" w:eastAsia="黑体" w:hAnsi="黑体"/>
          <w:sz w:val="30"/>
          <w:szCs w:val="30"/>
        </w:rPr>
      </w:pPr>
      <w:r>
        <w:rPr>
          <w:rFonts w:ascii="黑体" w:eastAsia="黑体" w:hAnsi="黑体" w:hint="eastAsia"/>
          <w:sz w:val="30"/>
          <w:szCs w:val="30"/>
        </w:rPr>
        <w:t>六、专业名词解释。</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w:t>
      </w:r>
      <w:r>
        <w:rPr>
          <w:rFonts w:ascii="仿宋_GB2312" w:eastAsia="仿宋_GB2312" w:hint="eastAsia"/>
          <w:sz w:val="30"/>
          <w:szCs w:val="30"/>
        </w:rPr>
        <w:lastRenderedPageBreak/>
        <w:t>出结转、项目支出结转和结余、经营结余。不包括事业单位净资产项下的事业基金和专用基金。</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w:t>
      </w:r>
      <w:proofErr w:type="gramStart"/>
      <w:r>
        <w:rPr>
          <w:rFonts w:ascii="仿宋_GB2312" w:eastAsia="仿宋_GB2312" w:hint="eastAsia"/>
          <w:sz w:val="30"/>
          <w:szCs w:val="30"/>
        </w:rPr>
        <w:t>财教</w:t>
      </w:r>
      <w:proofErr w:type="gramEnd"/>
      <w:r>
        <w:rPr>
          <w:rFonts w:ascii="仿宋_GB2312" w:eastAsia="仿宋_GB2312" w:hint="eastAsia"/>
          <w:sz w:val="30"/>
          <w:szCs w:val="30"/>
        </w:rPr>
        <w:t>[2012]32号）规定，事业单位职工福利基金的提取比例，在单位年度非财政拨款结余的40%以内确定，国家另有规定的从其规定。</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单位公务出国 （境）的国际旅费、国外城市间交通费、住宿费、伙食费、培训费、公杂费等支出；</w:t>
      </w:r>
      <w:r>
        <w:rPr>
          <w:rFonts w:ascii="仿宋_GB2312" w:eastAsia="仿宋_GB2312" w:hint="eastAsia"/>
          <w:sz w:val="30"/>
          <w:szCs w:val="30"/>
        </w:rPr>
        <w:lastRenderedPageBreak/>
        <w:t>公务用车购置</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单位公务用车购置支出（</w:t>
      </w:r>
      <w:proofErr w:type="gramStart"/>
      <w:r>
        <w:rPr>
          <w:rFonts w:ascii="仿宋_GB2312" w:eastAsia="仿宋_GB2312" w:hint="eastAsia"/>
          <w:sz w:val="30"/>
          <w:szCs w:val="30"/>
        </w:rPr>
        <w:t>含车辆</w:t>
      </w:r>
      <w:proofErr w:type="gramEnd"/>
      <w:r>
        <w:rPr>
          <w:rFonts w:ascii="仿宋_GB2312" w:eastAsia="仿宋_GB2312" w:hint="eastAsia"/>
          <w:sz w:val="30"/>
          <w:szCs w:val="30"/>
        </w:rPr>
        <w:t xml:space="preserve">购置税）；公务用车运行维 </w:t>
      </w:r>
      <w:proofErr w:type="gramStart"/>
      <w:r>
        <w:rPr>
          <w:rFonts w:ascii="仿宋_GB2312" w:eastAsia="仿宋_GB2312" w:hint="eastAsia"/>
          <w:sz w:val="30"/>
          <w:szCs w:val="30"/>
        </w:rPr>
        <w:t>护费反映</w:t>
      </w:r>
      <w:proofErr w:type="gramEnd"/>
      <w:r>
        <w:rPr>
          <w:rFonts w:ascii="仿宋_GB2312" w:eastAsia="仿宋_GB2312" w:hint="eastAsia"/>
          <w:sz w:val="30"/>
          <w:szCs w:val="30"/>
        </w:rPr>
        <w:t>单位按规定保留的公务用车燃料费、维修费、过路过桥费、保险费、安全奖励费用等支出；公务接待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单位按规定开支的各类公务接待（含外宾接待） 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w:t>
      </w:r>
      <w:proofErr w:type="gramStart"/>
      <w:r>
        <w:rPr>
          <w:rFonts w:ascii="仿宋_GB2312" w:eastAsia="仿宋_GB2312" w:hint="eastAsia"/>
          <w:sz w:val="30"/>
          <w:szCs w:val="30"/>
        </w:rPr>
        <w:t>外长期</w:t>
      </w:r>
      <w:proofErr w:type="gramEnd"/>
      <w:r>
        <w:rPr>
          <w:rFonts w:ascii="仿宋_GB2312" w:eastAsia="仿宋_GB2312" w:hint="eastAsia"/>
          <w:sz w:val="30"/>
          <w:szCs w:val="30"/>
        </w:rPr>
        <w:t>聘用人员的各类劳动报酬，以及为上述人员缴纳的各项社会保险费等。</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9B751B" w:rsidRDefault="0072300D">
      <w:pPr>
        <w:ind w:firstLineChars="200" w:firstLine="600"/>
        <w:rPr>
          <w:rFonts w:ascii="仿宋_GB2312" w:eastAsia="仿宋_GB2312"/>
          <w:sz w:val="30"/>
          <w:szCs w:val="30"/>
        </w:rPr>
      </w:pPr>
      <w:r>
        <w:rPr>
          <w:rFonts w:ascii="楷体_GB2312" w:eastAsia="楷体_GB2312" w:hint="eastAsia"/>
          <w:sz w:val="30"/>
          <w:szCs w:val="30"/>
        </w:rPr>
        <w:t>（十七）其他资本性支出（支出经济分类科目类级）：</w:t>
      </w:r>
      <w:r>
        <w:rPr>
          <w:rFonts w:ascii="仿宋_GB2312" w:eastAsia="仿宋_GB2312" w:hint="eastAsia"/>
          <w:sz w:val="30"/>
          <w:szCs w:val="30"/>
        </w:rPr>
        <w:t>反映</w:t>
      </w:r>
      <w:proofErr w:type="gramStart"/>
      <w:r>
        <w:rPr>
          <w:rFonts w:ascii="仿宋_GB2312" w:eastAsia="仿宋_GB2312" w:hint="eastAsia"/>
          <w:sz w:val="30"/>
          <w:szCs w:val="30"/>
        </w:rPr>
        <w:t>非各级</w:t>
      </w:r>
      <w:proofErr w:type="gramEnd"/>
      <w:r>
        <w:rPr>
          <w:rFonts w:ascii="仿宋_GB2312" w:eastAsia="仿宋_GB2312" w:hint="eastAsia"/>
          <w:sz w:val="30"/>
          <w:szCs w:val="30"/>
        </w:rPr>
        <w:t>发展与改革部门集中安排的用于购置固定资产、战略性和应急性储备、土地和无形资产，以及构建基础设施、大型修缮和财政支持企业更新改造所发生的支出。</w:t>
      </w:r>
    </w:p>
    <w:p w:rsidR="009B751B" w:rsidRDefault="0072300D">
      <w:pPr>
        <w:ind w:firstLineChars="200" w:firstLine="600"/>
        <w:rPr>
          <w:rFonts w:ascii="仿宋_GB2312" w:eastAsia="仿宋_GB2312"/>
          <w:sz w:val="30"/>
          <w:szCs w:val="30"/>
        </w:rPr>
      </w:pPr>
      <w:r>
        <w:rPr>
          <w:rFonts w:ascii="黑体" w:eastAsia="黑体" w:hAnsi="黑体" w:hint="eastAsia"/>
          <w:sz w:val="30"/>
          <w:szCs w:val="30"/>
        </w:rPr>
        <w:lastRenderedPageBreak/>
        <w:t>注：</w:t>
      </w:r>
      <w:r>
        <w:rPr>
          <w:rFonts w:ascii="仿宋_GB2312" w:eastAsia="仿宋_GB2312" w:hint="eastAsia"/>
          <w:sz w:val="30"/>
          <w:szCs w:val="30"/>
        </w:rPr>
        <w:t>以上为常见专业名词解释目录，仅供参考，部门应根据实际情况进行解释和增减。比如可将类级功能科目和经济科目细化</w:t>
      </w:r>
      <w:proofErr w:type="gramStart"/>
      <w:r>
        <w:rPr>
          <w:rFonts w:ascii="仿宋_GB2312" w:eastAsia="仿宋_GB2312" w:hint="eastAsia"/>
          <w:sz w:val="30"/>
          <w:szCs w:val="30"/>
        </w:rPr>
        <w:t>解释到项级</w:t>
      </w:r>
      <w:proofErr w:type="gramEnd"/>
      <w:r>
        <w:rPr>
          <w:rFonts w:ascii="仿宋_GB2312" w:eastAsia="仿宋_GB2312" w:hint="eastAsia"/>
          <w:sz w:val="30"/>
          <w:szCs w:val="30"/>
        </w:rPr>
        <w:t>。</w:t>
      </w:r>
    </w:p>
    <w:p w:rsidR="009B751B" w:rsidRDefault="009B751B">
      <w:pPr>
        <w:ind w:firstLineChars="200" w:firstLine="600"/>
        <w:rPr>
          <w:rFonts w:ascii="仿宋_GB2312" w:eastAsia="仿宋_GB2312"/>
          <w:sz w:val="30"/>
          <w:szCs w:val="30"/>
        </w:rPr>
      </w:pPr>
    </w:p>
    <w:p w:rsidR="009B751B" w:rsidRDefault="009B751B"/>
    <w:sectPr w:rsidR="009B75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E2" w:rsidRDefault="001C15E2">
      <w:r>
        <w:separator/>
      </w:r>
    </w:p>
  </w:endnote>
  <w:endnote w:type="continuationSeparator" w:id="0">
    <w:p w:rsidR="001C15E2" w:rsidRDefault="001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824"/>
    </w:sdtPr>
    <w:sdtEndPr/>
    <w:sdtContent>
      <w:p w:rsidR="009B751B" w:rsidRDefault="0072300D">
        <w:pPr>
          <w:pStyle w:val="a4"/>
          <w:jc w:val="center"/>
        </w:pPr>
        <w:r>
          <w:fldChar w:fldCharType="begin"/>
        </w:r>
        <w:r>
          <w:instrText xml:space="preserve"> PAGE   \* MERGEFORMAT </w:instrText>
        </w:r>
        <w:r>
          <w:fldChar w:fldCharType="separate"/>
        </w:r>
        <w:r w:rsidR="000234B4" w:rsidRPr="000234B4">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E2" w:rsidRDefault="001C15E2">
      <w:r>
        <w:separator/>
      </w:r>
    </w:p>
  </w:footnote>
  <w:footnote w:type="continuationSeparator" w:id="0">
    <w:p w:rsidR="001C15E2" w:rsidRDefault="001C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234B4"/>
    <w:rsid w:val="000E7A56"/>
    <w:rsid w:val="000F5CF8"/>
    <w:rsid w:val="0019485D"/>
    <w:rsid w:val="001C15E2"/>
    <w:rsid w:val="002B7E30"/>
    <w:rsid w:val="002C0CA4"/>
    <w:rsid w:val="004E0C18"/>
    <w:rsid w:val="00545E5A"/>
    <w:rsid w:val="00577ABF"/>
    <w:rsid w:val="005B013D"/>
    <w:rsid w:val="005D1477"/>
    <w:rsid w:val="00677BF9"/>
    <w:rsid w:val="006A052A"/>
    <w:rsid w:val="007163E8"/>
    <w:rsid w:val="0072300D"/>
    <w:rsid w:val="007D2BBC"/>
    <w:rsid w:val="007E1FCC"/>
    <w:rsid w:val="00897FD8"/>
    <w:rsid w:val="008A7621"/>
    <w:rsid w:val="00945227"/>
    <w:rsid w:val="009A0C7F"/>
    <w:rsid w:val="009B751B"/>
    <w:rsid w:val="00A31C95"/>
    <w:rsid w:val="00A41A61"/>
    <w:rsid w:val="00A47D7A"/>
    <w:rsid w:val="00A52996"/>
    <w:rsid w:val="00A91C19"/>
    <w:rsid w:val="00B8685C"/>
    <w:rsid w:val="00B86F79"/>
    <w:rsid w:val="00BC2853"/>
    <w:rsid w:val="00C73833"/>
    <w:rsid w:val="00CE7586"/>
    <w:rsid w:val="00D505F9"/>
    <w:rsid w:val="00D916B6"/>
    <w:rsid w:val="00E72AC1"/>
    <w:rsid w:val="00EC2F0E"/>
    <w:rsid w:val="00EE1E77"/>
    <w:rsid w:val="00F03FAA"/>
    <w:rsid w:val="00F07990"/>
    <w:rsid w:val="00F723F6"/>
    <w:rsid w:val="00F7394E"/>
    <w:rsid w:val="00F86650"/>
    <w:rsid w:val="08143318"/>
    <w:rsid w:val="11810165"/>
    <w:rsid w:val="17542C27"/>
    <w:rsid w:val="19C568F1"/>
    <w:rsid w:val="1A4222B5"/>
    <w:rsid w:val="22A94633"/>
    <w:rsid w:val="243A5B41"/>
    <w:rsid w:val="2DCC25DE"/>
    <w:rsid w:val="2EE67926"/>
    <w:rsid w:val="35130FCB"/>
    <w:rsid w:val="360B20BA"/>
    <w:rsid w:val="382A0E89"/>
    <w:rsid w:val="3C7A28A0"/>
    <w:rsid w:val="3D065201"/>
    <w:rsid w:val="3EC175F5"/>
    <w:rsid w:val="3F296677"/>
    <w:rsid w:val="417B37C9"/>
    <w:rsid w:val="41B31F60"/>
    <w:rsid w:val="44D554E7"/>
    <w:rsid w:val="46792FC7"/>
    <w:rsid w:val="47C33B4A"/>
    <w:rsid w:val="496A3C0C"/>
    <w:rsid w:val="4E805734"/>
    <w:rsid w:val="506F46AB"/>
    <w:rsid w:val="50B56FCA"/>
    <w:rsid w:val="530A5A77"/>
    <w:rsid w:val="58751B5B"/>
    <w:rsid w:val="5DA41FD0"/>
    <w:rsid w:val="61C5556F"/>
    <w:rsid w:val="66D00E75"/>
    <w:rsid w:val="6B241FD1"/>
    <w:rsid w:val="6BE428EE"/>
    <w:rsid w:val="6BF11370"/>
    <w:rsid w:val="6D151597"/>
    <w:rsid w:val="6D75333B"/>
    <w:rsid w:val="7158313B"/>
    <w:rsid w:val="77E17DD9"/>
    <w:rsid w:val="7A0344C4"/>
    <w:rsid w:val="7CDD3E62"/>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1EEB-1D64-4611-B381-D869CE6C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Normal4">
    <w:name w:val="Normal_4"/>
    <w:qFormat/>
    <w:pPr>
      <w:spacing w:before="120" w:after="240"/>
      <w:jc w:val="both"/>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0890">
      <w:bodyDiv w:val="1"/>
      <w:marLeft w:val="0"/>
      <w:marRight w:val="0"/>
      <w:marTop w:val="0"/>
      <w:marBottom w:val="0"/>
      <w:divBdr>
        <w:top w:val="none" w:sz="0" w:space="0" w:color="auto"/>
        <w:left w:val="none" w:sz="0" w:space="0" w:color="auto"/>
        <w:bottom w:val="none" w:sz="0" w:space="0" w:color="auto"/>
        <w:right w:val="none" w:sz="0" w:space="0" w:color="auto"/>
      </w:divBdr>
    </w:div>
    <w:div w:id="233783377">
      <w:bodyDiv w:val="1"/>
      <w:marLeft w:val="0"/>
      <w:marRight w:val="0"/>
      <w:marTop w:val="0"/>
      <w:marBottom w:val="0"/>
      <w:divBdr>
        <w:top w:val="none" w:sz="0" w:space="0" w:color="auto"/>
        <w:left w:val="none" w:sz="0" w:space="0" w:color="auto"/>
        <w:bottom w:val="none" w:sz="0" w:space="0" w:color="auto"/>
        <w:right w:val="none" w:sz="0" w:space="0" w:color="auto"/>
      </w:divBdr>
    </w:div>
    <w:div w:id="342978063">
      <w:bodyDiv w:val="1"/>
      <w:marLeft w:val="0"/>
      <w:marRight w:val="0"/>
      <w:marTop w:val="0"/>
      <w:marBottom w:val="0"/>
      <w:divBdr>
        <w:top w:val="none" w:sz="0" w:space="0" w:color="auto"/>
        <w:left w:val="none" w:sz="0" w:space="0" w:color="auto"/>
        <w:bottom w:val="none" w:sz="0" w:space="0" w:color="auto"/>
        <w:right w:val="none" w:sz="0" w:space="0" w:color="auto"/>
      </w:divBdr>
    </w:div>
    <w:div w:id="576868676">
      <w:bodyDiv w:val="1"/>
      <w:marLeft w:val="0"/>
      <w:marRight w:val="0"/>
      <w:marTop w:val="0"/>
      <w:marBottom w:val="0"/>
      <w:divBdr>
        <w:top w:val="none" w:sz="0" w:space="0" w:color="auto"/>
        <w:left w:val="none" w:sz="0" w:space="0" w:color="auto"/>
        <w:bottom w:val="none" w:sz="0" w:space="0" w:color="auto"/>
        <w:right w:val="none" w:sz="0" w:space="0" w:color="auto"/>
      </w:divBdr>
    </w:div>
    <w:div w:id="723680012">
      <w:bodyDiv w:val="1"/>
      <w:marLeft w:val="0"/>
      <w:marRight w:val="0"/>
      <w:marTop w:val="0"/>
      <w:marBottom w:val="0"/>
      <w:divBdr>
        <w:top w:val="none" w:sz="0" w:space="0" w:color="auto"/>
        <w:left w:val="none" w:sz="0" w:space="0" w:color="auto"/>
        <w:bottom w:val="none" w:sz="0" w:space="0" w:color="auto"/>
        <w:right w:val="none" w:sz="0" w:space="0" w:color="auto"/>
      </w:divBdr>
    </w:div>
    <w:div w:id="1054546642">
      <w:bodyDiv w:val="1"/>
      <w:marLeft w:val="0"/>
      <w:marRight w:val="0"/>
      <w:marTop w:val="0"/>
      <w:marBottom w:val="0"/>
      <w:divBdr>
        <w:top w:val="none" w:sz="0" w:space="0" w:color="auto"/>
        <w:left w:val="none" w:sz="0" w:space="0" w:color="auto"/>
        <w:bottom w:val="none" w:sz="0" w:space="0" w:color="auto"/>
        <w:right w:val="none" w:sz="0" w:space="0" w:color="auto"/>
      </w:divBdr>
    </w:div>
    <w:div w:id="1095369026">
      <w:bodyDiv w:val="1"/>
      <w:marLeft w:val="0"/>
      <w:marRight w:val="0"/>
      <w:marTop w:val="0"/>
      <w:marBottom w:val="0"/>
      <w:divBdr>
        <w:top w:val="none" w:sz="0" w:space="0" w:color="auto"/>
        <w:left w:val="none" w:sz="0" w:space="0" w:color="auto"/>
        <w:bottom w:val="none" w:sz="0" w:space="0" w:color="auto"/>
        <w:right w:val="none" w:sz="0" w:space="0" w:color="auto"/>
      </w:divBdr>
    </w:div>
    <w:div w:id="1702782884">
      <w:bodyDiv w:val="1"/>
      <w:marLeft w:val="0"/>
      <w:marRight w:val="0"/>
      <w:marTop w:val="0"/>
      <w:marBottom w:val="0"/>
      <w:divBdr>
        <w:top w:val="none" w:sz="0" w:space="0" w:color="auto"/>
        <w:left w:val="none" w:sz="0" w:space="0" w:color="auto"/>
        <w:bottom w:val="none" w:sz="0" w:space="0" w:color="auto"/>
        <w:right w:val="none" w:sz="0" w:space="0" w:color="auto"/>
      </w:divBdr>
    </w:div>
    <w:div w:id="1779597036">
      <w:bodyDiv w:val="1"/>
      <w:marLeft w:val="0"/>
      <w:marRight w:val="0"/>
      <w:marTop w:val="0"/>
      <w:marBottom w:val="0"/>
      <w:divBdr>
        <w:top w:val="none" w:sz="0" w:space="0" w:color="auto"/>
        <w:left w:val="none" w:sz="0" w:space="0" w:color="auto"/>
        <w:bottom w:val="none" w:sz="0" w:space="0" w:color="auto"/>
        <w:right w:val="none" w:sz="0" w:space="0" w:color="auto"/>
      </w:divBdr>
    </w:div>
    <w:div w:id="1836070600">
      <w:bodyDiv w:val="1"/>
      <w:marLeft w:val="0"/>
      <w:marRight w:val="0"/>
      <w:marTop w:val="0"/>
      <w:marBottom w:val="0"/>
      <w:divBdr>
        <w:top w:val="none" w:sz="0" w:space="0" w:color="auto"/>
        <w:left w:val="none" w:sz="0" w:space="0" w:color="auto"/>
        <w:bottom w:val="none" w:sz="0" w:space="0" w:color="auto"/>
        <w:right w:val="none" w:sz="0" w:space="0" w:color="auto"/>
      </w:divBdr>
    </w:div>
    <w:div w:id="1861897861">
      <w:bodyDiv w:val="1"/>
      <w:marLeft w:val="0"/>
      <w:marRight w:val="0"/>
      <w:marTop w:val="0"/>
      <w:marBottom w:val="0"/>
      <w:divBdr>
        <w:top w:val="none" w:sz="0" w:space="0" w:color="auto"/>
        <w:left w:val="none" w:sz="0" w:space="0" w:color="auto"/>
        <w:bottom w:val="none" w:sz="0" w:space="0" w:color="auto"/>
        <w:right w:val="none" w:sz="0" w:space="0" w:color="auto"/>
      </w:divBdr>
    </w:div>
    <w:div w:id="1895237507">
      <w:bodyDiv w:val="1"/>
      <w:marLeft w:val="0"/>
      <w:marRight w:val="0"/>
      <w:marTop w:val="0"/>
      <w:marBottom w:val="0"/>
      <w:divBdr>
        <w:top w:val="none" w:sz="0" w:space="0" w:color="auto"/>
        <w:left w:val="none" w:sz="0" w:space="0" w:color="auto"/>
        <w:bottom w:val="none" w:sz="0" w:space="0" w:color="auto"/>
        <w:right w:val="none" w:sz="0" w:space="0" w:color="auto"/>
      </w:divBdr>
    </w:div>
    <w:div w:id="2037148371">
      <w:bodyDiv w:val="1"/>
      <w:marLeft w:val="0"/>
      <w:marRight w:val="0"/>
      <w:marTop w:val="0"/>
      <w:marBottom w:val="0"/>
      <w:divBdr>
        <w:top w:val="none" w:sz="0" w:space="0" w:color="auto"/>
        <w:left w:val="none" w:sz="0" w:space="0" w:color="auto"/>
        <w:bottom w:val="none" w:sz="0" w:space="0" w:color="auto"/>
        <w:right w:val="none" w:sz="0" w:space="0" w:color="auto"/>
      </w:divBdr>
    </w:div>
    <w:div w:id="211701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BB626-1541-4C7B-84AF-EB95ACEB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458</Words>
  <Characters>2614</Characters>
  <Application>Microsoft Office Word</Application>
  <DocSecurity>0</DocSecurity>
  <Lines>21</Lines>
  <Paragraphs>6</Paragraphs>
  <ScaleCrop>false</ScaleCrop>
  <Company>WRGHO.COM</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PC</cp:lastModifiedBy>
  <cp:revision>5</cp:revision>
  <cp:lastPrinted>2020-02-28T08:03:00Z</cp:lastPrinted>
  <dcterms:created xsi:type="dcterms:W3CDTF">2020-10-14T01:27:00Z</dcterms:created>
  <dcterms:modified xsi:type="dcterms:W3CDTF">2020-10-15T00:53:00Z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