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积石山县胡林家学区2019年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rPr>
      </w:pPr>
      <w:r>
        <w:rPr>
          <w:rFonts w:ascii="宋体" w:hAnsi="宋体" w:eastAsia="宋体" w:cs="宋体"/>
          <w:kern w:val="0"/>
          <w:sz w:val="32"/>
          <w:szCs w:val="32"/>
          <w:lang w:val="en-US" w:eastAsia="zh-CN"/>
        </w:rPr>
        <w:t>1、</w:t>
      </w:r>
      <w:r>
        <w:rPr>
          <w:rFonts w:hint="eastAsia" w:ascii="宋体" w:hAnsi="宋体" w:eastAsia="宋体" w:cs="宋体"/>
          <w:kern w:val="0"/>
          <w:sz w:val="32"/>
          <w:szCs w:val="32"/>
          <w:lang w:val="en-US" w:eastAsia="zh-CN"/>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w:t>
      </w:r>
      <w:r>
        <w:rPr>
          <w:rFonts w:ascii="宋体" w:hAnsi="宋体" w:eastAsia="宋体" w:cs="宋体"/>
          <w:kern w:val="0"/>
          <w:sz w:val="32"/>
          <w:szCs w:val="32"/>
          <w:lang w:val="en-US" w:eastAsia="zh-CN"/>
        </w:rPr>
        <w:t>、</w:t>
      </w:r>
      <w:r>
        <w:rPr>
          <w:rFonts w:hint="eastAsia" w:ascii="宋体" w:hAnsi="宋体" w:eastAsia="宋体" w:cs="宋体"/>
          <w:kern w:val="0"/>
          <w:sz w:val="32"/>
          <w:szCs w:val="32"/>
          <w:lang w:val="en-US" w:eastAsia="zh-CN"/>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rPr>
      </w:pPr>
      <w:r>
        <w:rPr>
          <w:rFonts w:hint="eastAsia" w:ascii="宋体" w:hAnsi="宋体" w:eastAsia="宋体" w:cs="宋体"/>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积石山县</w:t>
      </w:r>
      <w:r>
        <w:rPr>
          <w:rFonts w:hint="eastAsia" w:ascii="宋体" w:hAnsi="宋体" w:cs="宋体"/>
          <w:b w:val="0"/>
          <w:bCs w:val="0"/>
          <w:sz w:val="32"/>
          <w:szCs w:val="32"/>
          <w:lang w:val="en-US" w:eastAsia="zh-CN"/>
        </w:rPr>
        <w:t>胡林家学区</w:t>
      </w:r>
      <w:r>
        <w:rPr>
          <w:rFonts w:hint="eastAsia" w:ascii="宋体" w:hAnsi="宋体" w:eastAsia="宋体" w:cs="宋体"/>
          <w:b w:val="0"/>
          <w:bCs w:val="0"/>
          <w:sz w:val="32"/>
          <w:szCs w:val="32"/>
          <w:lang w:val="en-US" w:eastAsia="zh-CN"/>
        </w:rPr>
        <w:t>事业编制</w:t>
      </w:r>
      <w:r>
        <w:rPr>
          <w:rFonts w:hint="eastAsia" w:ascii="宋体" w:hAnsi="宋体" w:cs="宋体"/>
          <w:b w:val="0"/>
          <w:bCs w:val="0"/>
          <w:sz w:val="32"/>
          <w:szCs w:val="32"/>
          <w:lang w:val="en-US" w:eastAsia="zh-CN"/>
        </w:rPr>
        <w:t>66</w:t>
      </w:r>
      <w:r>
        <w:rPr>
          <w:rFonts w:hint="eastAsia" w:ascii="宋体" w:hAnsi="宋体" w:eastAsia="宋体" w:cs="宋体"/>
          <w:b w:val="0"/>
          <w:bCs w:val="0"/>
          <w:sz w:val="32"/>
          <w:szCs w:val="32"/>
          <w:lang w:val="en-US" w:eastAsia="zh-CN"/>
        </w:rPr>
        <w:t>人，</w:t>
      </w:r>
      <w:r>
        <w:rPr>
          <w:rFonts w:hint="eastAsia" w:ascii="宋体" w:hAnsi="宋体" w:eastAsia="宋体" w:cs="宋体"/>
          <w:b w:val="0"/>
          <w:bCs w:val="0"/>
          <w:color w:val="auto"/>
          <w:sz w:val="32"/>
          <w:szCs w:val="32"/>
          <w:lang w:val="en-US" w:eastAsia="zh-CN"/>
        </w:rPr>
        <w:t>在职人数</w:t>
      </w:r>
      <w:r>
        <w:rPr>
          <w:rFonts w:hint="eastAsia" w:ascii="宋体" w:hAnsi="宋体" w:cs="宋体"/>
          <w:b w:val="0"/>
          <w:bCs w:val="0"/>
          <w:color w:val="auto"/>
          <w:sz w:val="32"/>
          <w:szCs w:val="32"/>
          <w:lang w:val="en-US" w:eastAsia="zh-CN"/>
        </w:rPr>
        <w:t>83</w:t>
      </w:r>
      <w:r>
        <w:rPr>
          <w:rFonts w:hint="eastAsia" w:ascii="宋体" w:hAnsi="宋体" w:eastAsia="宋体" w:cs="宋体"/>
          <w:b w:val="0"/>
          <w:bCs w:val="0"/>
          <w:color w:val="auto"/>
          <w:sz w:val="32"/>
          <w:szCs w:val="32"/>
          <w:lang w:val="en-US" w:eastAsia="zh-CN"/>
        </w:rPr>
        <w:t>人。</w:t>
      </w:r>
      <w:r>
        <w:rPr>
          <w:rFonts w:hint="eastAsia" w:ascii="宋体" w:hAnsi="宋体" w:eastAsia="宋体" w:cs="宋体"/>
          <w:b w:val="0"/>
          <w:bCs w:val="0"/>
          <w:sz w:val="32"/>
          <w:szCs w:val="32"/>
          <w:lang w:val="en-US" w:eastAsia="zh-CN"/>
        </w:rPr>
        <w:t>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color w:val="auto"/>
          <w:sz w:val="30"/>
          <w:szCs w:val="30"/>
          <w:lang w:val="en-US" w:eastAsia="zh-CN"/>
        </w:rPr>
        <w:t>10733912.62</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color w:val="auto"/>
          <w:sz w:val="30"/>
          <w:szCs w:val="30"/>
          <w:lang w:val="en-US" w:eastAsia="zh-CN"/>
        </w:rPr>
        <w:t>10725205.57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color w:val="auto"/>
          <w:sz w:val="30"/>
          <w:szCs w:val="30"/>
          <w:lang w:val="en-US" w:eastAsia="zh-CN"/>
        </w:rPr>
        <w:t>125722</w:t>
      </w:r>
      <w:r>
        <w:rPr>
          <w:rFonts w:hint="eastAsia" w:ascii="仿宋_GB2312" w:eastAsia="仿宋_GB2312"/>
          <w:sz w:val="30"/>
          <w:szCs w:val="30"/>
          <w:lang w:eastAsia="zh-CN"/>
        </w:rPr>
        <w:t>元</w:t>
      </w:r>
      <w:r>
        <w:rPr>
          <w:rFonts w:hint="eastAsia" w:ascii="仿宋_GB2312" w:eastAsia="仿宋_GB2312"/>
          <w:sz w:val="30"/>
          <w:szCs w:val="30"/>
        </w:rPr>
        <w:t>，增</w:t>
      </w:r>
      <w:r>
        <w:rPr>
          <w:rFonts w:hint="eastAsia" w:ascii="仿宋_GB2312" w:eastAsia="仿宋_GB2312"/>
          <w:color w:val="auto"/>
          <w:sz w:val="30"/>
          <w:szCs w:val="30"/>
        </w:rPr>
        <w:t>长</w:t>
      </w:r>
      <w:r>
        <w:rPr>
          <w:rFonts w:hint="eastAsia" w:ascii="仿宋_GB2312" w:eastAsia="仿宋_GB2312"/>
          <w:color w:val="auto"/>
          <w:sz w:val="30"/>
          <w:szCs w:val="30"/>
          <w:lang w:val="en-US" w:eastAsia="zh-CN"/>
        </w:rPr>
        <w:t>1.17</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17767.99</w:t>
      </w:r>
      <w:r>
        <w:rPr>
          <w:rFonts w:hint="eastAsia" w:ascii="仿宋_GB2312" w:eastAsia="仿宋_GB2312"/>
          <w:color w:val="auto"/>
          <w:sz w:val="30"/>
          <w:szCs w:val="30"/>
          <w:lang w:eastAsia="zh-CN"/>
        </w:rPr>
        <w:t>元</w:t>
      </w:r>
      <w:r>
        <w:rPr>
          <w:rFonts w:ascii="仿宋_GB2312" w:eastAsia="仿宋_GB2312"/>
          <w:color w:val="auto"/>
          <w:sz w:val="30"/>
          <w:szCs w:val="30"/>
        </w:rPr>
        <w:t>，增长</w:t>
      </w:r>
      <w:r>
        <w:rPr>
          <w:rFonts w:hint="eastAsia" w:ascii="仿宋_GB2312" w:eastAsia="仿宋_GB2312"/>
          <w:color w:val="auto"/>
          <w:sz w:val="30"/>
          <w:szCs w:val="30"/>
          <w:lang w:val="en-US" w:eastAsia="zh-CN"/>
        </w:rPr>
        <w:t>0.1</w:t>
      </w:r>
      <w:r>
        <w:rPr>
          <w:rFonts w:hint="eastAsia" w:ascii="仿宋_GB2312" w:eastAsia="仿宋_GB2312"/>
          <w:color w:val="auto"/>
          <w:sz w:val="30"/>
          <w:szCs w:val="30"/>
        </w:rPr>
        <w:t>%。主</w:t>
      </w:r>
      <w:r>
        <w:rPr>
          <w:rFonts w:hint="eastAsia" w:ascii="仿宋_GB2312" w:eastAsia="仿宋_GB2312"/>
          <w:sz w:val="30"/>
          <w:szCs w:val="30"/>
        </w:rPr>
        <w:t>要原因是农村义务教育阶段学校</w:t>
      </w:r>
      <w:r>
        <w:rPr>
          <w:rFonts w:hint="eastAsia" w:ascii="仿宋_GB2312" w:eastAsia="仿宋_GB2312"/>
          <w:sz w:val="30"/>
          <w:szCs w:val="30"/>
          <w:lang w:eastAsia="zh-CN"/>
        </w:rPr>
        <w:t>学生数增加，教职工增加且教职工工资提高。</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color w:val="auto"/>
          <w:sz w:val="30"/>
          <w:szCs w:val="30"/>
          <w:lang w:val="en-US" w:eastAsia="zh-CN"/>
        </w:rPr>
        <w:t>10733912.62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color w:val="auto"/>
          <w:sz w:val="30"/>
          <w:szCs w:val="30"/>
        </w:rPr>
        <w:t>9098112.62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auto"/>
          <w:sz w:val="30"/>
          <w:szCs w:val="30"/>
          <w:lang w:val="en-US" w:eastAsia="zh-CN"/>
        </w:rPr>
        <w:t>84.76</w:t>
      </w:r>
      <w:r>
        <w:rPr>
          <w:rFonts w:hint="eastAsia" w:ascii="仿宋_GB2312" w:eastAsia="仿宋_GB2312"/>
          <w:sz w:val="30"/>
          <w:szCs w:val="30"/>
        </w:rPr>
        <w:t>%；上级补助收入</w:t>
      </w:r>
      <w:r>
        <w:rPr>
          <w:rFonts w:hint="eastAsia" w:ascii="仿宋_GB2312" w:eastAsia="仿宋_GB2312"/>
          <w:color w:val="auto"/>
          <w:sz w:val="30"/>
          <w:szCs w:val="30"/>
          <w:lang w:val="en-US" w:eastAsia="zh-CN"/>
        </w:rPr>
        <w:t>1635800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auto"/>
          <w:sz w:val="30"/>
          <w:szCs w:val="30"/>
          <w:lang w:val="en-US" w:eastAsia="zh-CN"/>
        </w:rPr>
        <w:t>15.24</w:t>
      </w:r>
      <w:r>
        <w:rPr>
          <w:rFonts w:hint="eastAsia" w:ascii="仿宋_GB2312" w:eastAsia="仿宋_GB2312"/>
          <w:sz w:val="30"/>
          <w:szCs w:val="30"/>
        </w:rPr>
        <w:t>%。</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color w:val="auto"/>
          <w:sz w:val="30"/>
          <w:szCs w:val="30"/>
        </w:rPr>
        <w:t>10725205.57</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color w:val="auto"/>
          <w:sz w:val="30"/>
          <w:szCs w:val="30"/>
        </w:rPr>
        <w:t>10578405.57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98.63</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，项目支出146800元，占</w:t>
      </w:r>
      <w:r>
        <w:rPr>
          <w:rFonts w:hint="eastAsia" w:ascii="仿宋_GB2312" w:eastAsia="仿宋_GB2312"/>
          <w:color w:val="auto"/>
          <w:sz w:val="30"/>
          <w:szCs w:val="30"/>
          <w:lang w:val="en-US" w:eastAsia="zh-CN"/>
        </w:rPr>
        <w:t>1.37%</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color w:val="auto"/>
          <w:sz w:val="30"/>
          <w:szCs w:val="30"/>
        </w:rPr>
        <w:t>127652.14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color w:val="auto"/>
          <w:sz w:val="30"/>
          <w:szCs w:val="30"/>
          <w:lang w:val="en-US" w:eastAsia="zh-CN"/>
        </w:rPr>
        <w:t>8707.05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部分营养餐经费未拨出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color w:val="auto"/>
          <w:sz w:val="30"/>
          <w:szCs w:val="30"/>
        </w:rPr>
        <w:t>9098112.62</w:t>
      </w:r>
      <w:r>
        <w:rPr>
          <w:rFonts w:hint="eastAsia" w:ascii="仿宋_GB2312" w:eastAsia="仿宋_GB2312"/>
          <w:sz w:val="30"/>
          <w:szCs w:val="30"/>
          <w:lang w:eastAsia="zh-CN"/>
        </w:rPr>
        <w:t>元</w:t>
      </w:r>
      <w:r>
        <w:rPr>
          <w:rFonts w:hint="eastAsia" w:ascii="仿宋_GB2312" w:eastAsia="仿宋_GB2312"/>
          <w:sz w:val="30"/>
          <w:szCs w:val="30"/>
        </w:rPr>
        <w:t>，较上年决算</w:t>
      </w:r>
      <w:r>
        <w:rPr>
          <w:rFonts w:hint="eastAsia" w:ascii="仿宋_GB2312" w:eastAsia="仿宋_GB2312"/>
          <w:color w:val="auto"/>
          <w:sz w:val="30"/>
          <w:szCs w:val="30"/>
        </w:rPr>
        <w:t>数增加</w:t>
      </w:r>
      <w:r>
        <w:rPr>
          <w:rFonts w:hint="eastAsia" w:ascii="仿宋_GB2312" w:eastAsia="仿宋_GB2312"/>
          <w:color w:val="auto"/>
          <w:sz w:val="30"/>
          <w:szCs w:val="30"/>
          <w:lang w:val="en-US" w:eastAsia="zh-CN"/>
        </w:rPr>
        <w:t>64370.5</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0.7</w:t>
      </w:r>
      <w:r>
        <w:rPr>
          <w:rFonts w:hint="eastAsia" w:ascii="仿宋_GB2312" w:eastAsia="仿宋_GB2312"/>
          <w:color w:val="auto"/>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color w:val="auto"/>
          <w:sz w:val="30"/>
          <w:szCs w:val="30"/>
        </w:rPr>
        <w:t>9098112.62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color w:val="auto"/>
          <w:sz w:val="30"/>
          <w:szCs w:val="30"/>
          <w:lang w:val="en-US" w:eastAsia="zh-CN"/>
        </w:rPr>
        <w:t>31998.82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color w:val="auto"/>
          <w:sz w:val="30"/>
          <w:szCs w:val="30"/>
          <w:lang w:val="en-US" w:eastAsia="zh-CN"/>
        </w:rPr>
        <w:t>0.35</w:t>
      </w:r>
      <w:r>
        <w:rPr>
          <w:rFonts w:hint="eastAsia" w:ascii="仿宋_GB2312" w:eastAsia="仿宋_GB2312"/>
          <w:color w:val="auto"/>
          <w:sz w:val="30"/>
          <w:szCs w:val="30"/>
        </w:rPr>
        <w:t>%</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sz w:val="30"/>
          <w:szCs w:val="30"/>
        </w:rPr>
        <w:t>本部门</w:t>
      </w:r>
      <w:r>
        <w:rPr>
          <w:rFonts w:hint="eastAsia" w:ascii="仿宋_GB2312" w:eastAsia="仿宋_GB2312"/>
          <w:color w:val="000000"/>
          <w:sz w:val="30"/>
          <w:szCs w:val="30"/>
          <w:lang w:eastAsia="zh-CN"/>
        </w:rPr>
        <w:t>2019年</w:t>
      </w:r>
      <w:r>
        <w:rPr>
          <w:rFonts w:hint="eastAsia" w:ascii="仿宋_GB2312" w:eastAsia="仿宋_GB2312"/>
          <w:color w:val="000000"/>
          <w:sz w:val="30"/>
          <w:szCs w:val="30"/>
        </w:rPr>
        <w:t>度财政</w:t>
      </w:r>
      <w:r>
        <w:rPr>
          <w:rFonts w:hint="eastAsia" w:ascii="仿宋_GB2312" w:eastAsia="仿宋_GB2312"/>
          <w:color w:val="auto"/>
          <w:sz w:val="30"/>
          <w:szCs w:val="30"/>
        </w:rPr>
        <w:t>拨款支出主要用于以下方面</w:t>
      </w:r>
      <w:r>
        <w:rPr>
          <w:rFonts w:hint="eastAsia" w:ascii="仿宋_GB2312" w:eastAsia="仿宋_GB2312"/>
          <w:color w:val="auto"/>
          <w:sz w:val="30"/>
          <w:szCs w:val="30"/>
          <w:lang w:eastAsia="zh-CN"/>
        </w:rPr>
        <w:t>：</w:t>
      </w:r>
      <w:r>
        <w:rPr>
          <w:rFonts w:hint="eastAsia" w:ascii="仿宋_GB2312" w:eastAsia="仿宋_GB2312"/>
          <w:color w:val="auto"/>
          <w:sz w:val="30"/>
          <w:szCs w:val="30"/>
        </w:rPr>
        <w:t>教育支出6008596.22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66.04</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；社会保障与就业支出</w:t>
      </w:r>
      <w:r>
        <w:rPr>
          <w:rFonts w:hint="eastAsia" w:ascii="仿宋_GB2312" w:eastAsia="仿宋_GB2312"/>
          <w:color w:val="auto"/>
          <w:sz w:val="30"/>
          <w:szCs w:val="30"/>
          <w:lang w:val="en-US" w:eastAsia="zh-CN"/>
        </w:rPr>
        <w:t>526275.4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5.78</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元；一般公共服务支出2563241，</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28.17</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bookmarkStart w:id="0" w:name="_GoBack"/>
      <w:bookmarkEnd w:id="0"/>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color w:val="auto"/>
          <w:sz w:val="30"/>
          <w:szCs w:val="30"/>
        </w:rPr>
        <w:t>9098112.62</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color w:val="auto"/>
          <w:sz w:val="30"/>
          <w:szCs w:val="30"/>
        </w:rPr>
        <w:t>7591746.62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w:t>
      </w:r>
      <w:r>
        <w:rPr>
          <w:rFonts w:hint="eastAsia" w:ascii="仿宋_GB2312" w:eastAsia="仿宋_GB2312"/>
          <w:color w:val="auto"/>
          <w:sz w:val="30"/>
          <w:szCs w:val="30"/>
          <w:lang w:val="en-US" w:eastAsia="zh-CN"/>
        </w:rPr>
        <w:t>834324.5</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3986975"/>
    <w:rsid w:val="075E2523"/>
    <w:rsid w:val="09CE172F"/>
    <w:rsid w:val="0A243FB0"/>
    <w:rsid w:val="0B0714E5"/>
    <w:rsid w:val="0CD43B4D"/>
    <w:rsid w:val="0CF017C4"/>
    <w:rsid w:val="147A7C9D"/>
    <w:rsid w:val="153C1F56"/>
    <w:rsid w:val="15B33927"/>
    <w:rsid w:val="17542C27"/>
    <w:rsid w:val="18F1352C"/>
    <w:rsid w:val="19643582"/>
    <w:rsid w:val="1B394F38"/>
    <w:rsid w:val="1B943FD8"/>
    <w:rsid w:val="1BA372AA"/>
    <w:rsid w:val="1BE52822"/>
    <w:rsid w:val="1D4520FB"/>
    <w:rsid w:val="1DD64839"/>
    <w:rsid w:val="1E1B62F5"/>
    <w:rsid w:val="1E512F4B"/>
    <w:rsid w:val="1E7A630E"/>
    <w:rsid w:val="1F9B1C69"/>
    <w:rsid w:val="216E539A"/>
    <w:rsid w:val="227E3026"/>
    <w:rsid w:val="230022FA"/>
    <w:rsid w:val="23430F00"/>
    <w:rsid w:val="23A133F0"/>
    <w:rsid w:val="2747517D"/>
    <w:rsid w:val="2AC80393"/>
    <w:rsid w:val="2EE67926"/>
    <w:rsid w:val="30D70123"/>
    <w:rsid w:val="35061B1D"/>
    <w:rsid w:val="35130FCB"/>
    <w:rsid w:val="36DE5132"/>
    <w:rsid w:val="38026CF0"/>
    <w:rsid w:val="397C7EC0"/>
    <w:rsid w:val="3A014237"/>
    <w:rsid w:val="3EDE7988"/>
    <w:rsid w:val="451851EA"/>
    <w:rsid w:val="46A42354"/>
    <w:rsid w:val="472829CB"/>
    <w:rsid w:val="47CA214C"/>
    <w:rsid w:val="50F54C60"/>
    <w:rsid w:val="51291C37"/>
    <w:rsid w:val="57B23889"/>
    <w:rsid w:val="5BF36344"/>
    <w:rsid w:val="5E9372BE"/>
    <w:rsid w:val="5F2727A8"/>
    <w:rsid w:val="5F5C4481"/>
    <w:rsid w:val="5FC216E1"/>
    <w:rsid w:val="62960785"/>
    <w:rsid w:val="630F1C12"/>
    <w:rsid w:val="63904B5B"/>
    <w:rsid w:val="63DC5AE3"/>
    <w:rsid w:val="65FD004A"/>
    <w:rsid w:val="684969A7"/>
    <w:rsid w:val="6A3A1355"/>
    <w:rsid w:val="6D75333B"/>
    <w:rsid w:val="6E5A357C"/>
    <w:rsid w:val="6F000329"/>
    <w:rsid w:val="705707D6"/>
    <w:rsid w:val="71C34492"/>
    <w:rsid w:val="76041B0B"/>
    <w:rsid w:val="763F0CE1"/>
    <w:rsid w:val="78715728"/>
    <w:rsid w:val="789336DE"/>
    <w:rsid w:val="7A0344C4"/>
    <w:rsid w:val="7A2F6982"/>
    <w:rsid w:val="7CDD3E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2020-10-20T01:33:44Z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