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积石中学</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积石中学担负着积石山县普通高中的教育教学工作，以“读书明理，成人成才”为</w:t>
      </w:r>
      <w:bookmarkStart w:id="0" w:name="_GoBack"/>
      <w:bookmarkEnd w:id="0"/>
      <w:r>
        <w:rPr>
          <w:rFonts w:hint="eastAsia" w:ascii="仿宋_GB2312" w:eastAsia="仿宋_GB2312"/>
          <w:sz w:val="30"/>
          <w:szCs w:val="30"/>
          <w:lang w:val="en-US" w:eastAsia="zh-CN"/>
        </w:rPr>
        <w:t>校训，以“为学生的终身发展奠基”为学校发展理念，认真贯彻执行党的教育方针、政策、法规,保证学校的社会主义办学方向,积极稳妥地推进教育改革,按教育规律办学,确保教育教学质量,努力培养德、智、体全面发展的社会主义现代化建设者和接班人。学校先后被评为“州级示范性高中”，甘肃省首批“德育示范学校”，“教育工作先进集体”和甘肃省首批“特色实验学校”。</w:t>
      </w:r>
    </w:p>
    <w:p>
      <w:pPr>
        <w:snapToGrid w:val="0"/>
        <w:spacing w:line="360" w:lineRule="auto"/>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我单位属县级财政全额拨款事业单位，在中国农业银行共开2个银行账户，设1个编制机构，1个独立核算机构，事业编制177人，年末在职教职工244人，年末就读学生1932人，单位下设办公室、教导处、政教处、总务处、教研室、督导室、电教中心等科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表一：收入支出决算总表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表二：收入决算表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表三：支出决算表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表四：财政拨款收入支出决算总表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表五：一般公共预算财政拨款支出决算表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表六：一般公共预算财政拨款基本支出决算表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表七：一般公共预算财政拨款“三公”经费支出决算表</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本部门2019年度收入总计38944295.54元，支出总计38986998.33元。与2018年决算数相比，收入增加8673794.5元，增长28.65%，支出增加8718802.35元，增长28.8%。主要原因是人员经费增长，拨款增加。</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本部门2019年度收入合计38944295.54元，其中：财政拨款收入38944295.54元，占100%。</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本部门2019年度支出合计38986998.33元，其中：基本支出38986998.33元，占100%。</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本部门2019年度年末结转和结余0元，较上年减少42702.79元 。</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本部门2019年度财政拨款收入38944295.54元，较上年决算数增加8673794.5元，增长28.65%。主要原因是人员经费增长，拨款增加。</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本部门2019年度财政拨款支出38986998.33元，较上年决算数增加8718802.35元，增长28.8%。主要原因是人员经费增长，工资增长，补发科学发展观奖金，发放抚恤金，拨款增加。</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本部门2019年度财政拨款支出主要用于以下方面：一般公共服务支出6658594元，占17.08%，教育支出27699450.94元，占71.05%，社会保障和就业支出4628953.39元占11.87。</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本部门2019年度一般公共财政拨款基本支出38986998.33元。其中：人员经费34272254.54元， 较上年增加8266055.56元，主要原因是工资增长，补发科学发展观奖金，发放抚恤金。人员经费用途主要包括基本工资、津贴补贴、奖金、社会保障缴费。公用经费4714743.79元，较上年增加452746.79元，主要原因是学生数增加，支出增长，公用经费用途主要包括办公费、印刷费、劳务费、电费、维修费、材料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元，与年初预算数一致。</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lang w:eastAsia="zh-CN"/>
        </w:rPr>
        <w:t>无。</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无</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楷体_GB2312" w:eastAsia="楷体_GB2312"/>
          <w:b/>
          <w:sz w:val="30"/>
          <w:szCs w:val="30"/>
        </w:rPr>
      </w:pPr>
      <w:r>
        <w:rPr>
          <w:rFonts w:hint="eastAsia" w:ascii="楷体_GB2312" w:eastAsia="楷体_GB2312"/>
          <w:b/>
          <w:sz w:val="30"/>
          <w:szCs w:val="30"/>
        </w:rPr>
        <w:t>（一） 机关运行经费情况说明。</w:t>
      </w:r>
    </w:p>
    <w:p>
      <w:pPr>
        <w:ind w:firstLine="600" w:firstLineChars="20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仿宋_GB2312" w:eastAsia="仿宋_GB2312"/>
          <w:sz w:val="30"/>
          <w:szCs w:val="30"/>
          <w:lang w:val="en-US" w:eastAsia="zh-CN"/>
        </w:rPr>
        <w:t>2</w:t>
      </w:r>
      <w:r>
        <w:rPr>
          <w:rFonts w:hint="eastAsia" w:ascii="仿宋_GB2312" w:eastAsia="仿宋_GB2312"/>
          <w:sz w:val="30"/>
          <w:szCs w:val="30"/>
          <w:lang w:val="en-US" w:eastAsia="zh-CN"/>
        </w:rPr>
        <w:t>019年本部门机关运行经费支出4714743.79元，机关运行经费主要用于开支办公费、印刷费、劳务费、电费、维修费、材料费等。机关运行经费较2018年增加452746.79元，增长10.6%，主要原因是学生数增加，支出增长。</w:t>
      </w:r>
    </w:p>
    <w:p>
      <w:pPr>
        <w:numPr>
          <w:ilvl w:val="0"/>
          <w:numId w:val="1"/>
        </w:numPr>
        <w:ind w:firstLine="602" w:firstLineChars="200"/>
        <w:rPr>
          <w:rFonts w:hint="eastAsia" w:ascii="楷体_GB2312" w:eastAsia="楷体_GB2312"/>
          <w:b/>
          <w:sz w:val="30"/>
          <w:szCs w:val="30"/>
        </w:rPr>
      </w:pPr>
      <w:r>
        <w:rPr>
          <w:rFonts w:hint="eastAsia" w:ascii="楷体_GB2312" w:eastAsia="楷体_GB2312"/>
          <w:b/>
          <w:sz w:val="30"/>
          <w:szCs w:val="30"/>
        </w:rPr>
        <w:t>国有资产占用情况说明。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截至2019年12月31日，本部门共有车辆0辆。单价50万元以上通用设备0台（套），单价100万元以上专用设备0台（套）。</w:t>
      </w:r>
    </w:p>
    <w:p>
      <w:pPr>
        <w:numPr>
          <w:ilvl w:val="0"/>
          <w:numId w:val="1"/>
        </w:numPr>
        <w:ind w:left="0" w:leftChars="0" w:firstLine="602" w:firstLineChars="200"/>
        <w:rPr>
          <w:rFonts w:hint="eastAsia" w:ascii="楷体_GB2312" w:eastAsia="楷体_GB2312"/>
          <w:b/>
          <w:sz w:val="30"/>
          <w:szCs w:val="30"/>
        </w:rPr>
      </w:pPr>
      <w:r>
        <w:rPr>
          <w:rFonts w:hint="eastAsia" w:ascii="楷体_GB2312" w:eastAsia="楷体_GB2312"/>
          <w:b/>
          <w:sz w:val="30"/>
          <w:szCs w:val="30"/>
        </w:rPr>
        <w:t>政府采购支出情况说明。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2019年本部门政府采购支出总额总额137829.63元，其中：政府采购货物支出115352.26元、政府采购工程支出0元、政府采购服务支出22477.37元。主要用于采购办公用品、电脑耗材、校园维修等。</w:t>
      </w:r>
    </w:p>
    <w:p>
      <w:pPr>
        <w:numPr>
          <w:ilvl w:val="0"/>
          <w:numId w:val="1"/>
        </w:numPr>
        <w:spacing w:line="620" w:lineRule="exact"/>
        <w:ind w:left="0" w:leftChars="0" w:firstLine="602" w:firstLineChars="200"/>
        <w:rPr>
          <w:rFonts w:hint="eastAsia" w:ascii="楷体_GB2312" w:eastAsia="楷体_GB2312"/>
          <w:b/>
          <w:sz w:val="30"/>
          <w:szCs w:val="30"/>
        </w:rPr>
      </w:pPr>
      <w:r>
        <w:rPr>
          <w:rFonts w:hint="eastAsia" w:ascii="楷体_GB2312" w:eastAsia="楷体_GB2312"/>
          <w:b/>
          <w:sz w:val="30"/>
          <w:szCs w:val="30"/>
        </w:rPr>
        <w:t>预算绩效管理情况说明</w:t>
      </w:r>
    </w:p>
    <w:p>
      <w:pPr>
        <w:numPr>
          <w:numId w:val="0"/>
        </w:numPr>
        <w:spacing w:line="620" w:lineRule="exact"/>
        <w:ind w:firstLine="600" w:firstLineChars="200"/>
        <w:rPr>
          <w:rFonts w:hint="eastAsia" w:ascii="仿宋_GB2312" w:eastAsia="楷体_GB2312"/>
          <w:sz w:val="30"/>
          <w:szCs w:val="30"/>
          <w:lang w:eastAsia="zh-CN"/>
        </w:rPr>
      </w:pPr>
      <w:r>
        <w:rPr>
          <w:rFonts w:hint="eastAsia" w:ascii="仿宋_GB2312" w:eastAsia="仿宋_GB2312"/>
          <w:sz w:val="30"/>
          <w:szCs w:val="30"/>
          <w:lang w:eastAsia="zh-CN"/>
        </w:rPr>
        <w:t>无</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rPr>
          <w:rFonts w:hint="eastAsia"/>
          <w:lang w:eastAsia="zh-CN"/>
        </w:rPr>
      </w:pPr>
    </w:p>
    <w:p>
      <w:pPr>
        <w:ind w:firstLine="600" w:firstLineChars="200"/>
        <w:rPr>
          <w:rFonts w:hint="eastAsia" w:ascii="仿宋_GB2312" w:eastAsia="仿宋_GB2312"/>
          <w:sz w:val="30"/>
          <w:szCs w:val="30"/>
          <w:lang w:eastAsia="zh-CN"/>
        </w:rPr>
      </w:pPr>
    </w:p>
    <w:p>
      <w:pPr>
        <w:wordWrap w:val="0"/>
        <w:ind w:firstLine="600" w:firstLineChars="200"/>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B8F54"/>
    <w:multiLevelType w:val="singleLevel"/>
    <w:tmpl w:val="DFFB8F54"/>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5091A07"/>
    <w:rsid w:val="17542C27"/>
    <w:rsid w:val="18F1352C"/>
    <w:rsid w:val="19643582"/>
    <w:rsid w:val="1B943FD8"/>
    <w:rsid w:val="1DD64839"/>
    <w:rsid w:val="2AC80393"/>
    <w:rsid w:val="2EE67926"/>
    <w:rsid w:val="35130FCB"/>
    <w:rsid w:val="36DE5132"/>
    <w:rsid w:val="3EDE7988"/>
    <w:rsid w:val="5BF36344"/>
    <w:rsid w:val="5F2727A8"/>
    <w:rsid w:val="62960785"/>
    <w:rsid w:val="68A229B1"/>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2020-11-05T03:35:20Z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