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附件1：</w:t>
      </w:r>
      <w:r>
        <w:rPr>
          <w:rFonts w:hint="eastAsia" w:ascii="仿宋_GB2312" w:hAnsi="宋体" w:eastAsia="仿宋_GB2312" w:cs="宋体"/>
          <w:b/>
          <w:bCs/>
          <w:color w:val="000000" w:themeColor="text1"/>
          <w:sz w:val="24"/>
          <w:szCs w:val="24"/>
          <w:lang w:eastAsia="zh-CN"/>
          <w14:textFill>
            <w14:solidFill>
              <w14:schemeClr w14:val="tx1"/>
            </w14:solidFill>
          </w14:textFill>
        </w:rPr>
        <w:t>积石山县交通运输局201</w:t>
      </w:r>
      <w:r>
        <w:rPr>
          <w:rFonts w:hint="eastAsia" w:ascii="仿宋_GB2312" w:hAnsi="宋体" w:eastAsia="仿宋_GB2312" w:cs="宋体"/>
          <w:b/>
          <w:bCs/>
          <w:color w:val="000000" w:themeColor="text1"/>
          <w:sz w:val="24"/>
          <w:szCs w:val="24"/>
          <w:lang w:val="en-US" w:eastAsia="zh-CN"/>
          <w14:textFill>
            <w14:solidFill>
              <w14:schemeClr w14:val="tx1"/>
            </w14:solidFill>
          </w14:textFill>
        </w:rPr>
        <w:t>9</w:t>
      </w:r>
      <w:r>
        <w:rPr>
          <w:rFonts w:hint="eastAsia" w:ascii="仿宋_GB2312" w:hAnsi="宋体" w:eastAsia="仿宋_GB2312" w:cs="宋体"/>
          <w:b/>
          <w:bCs/>
          <w:color w:val="000000" w:themeColor="text1"/>
          <w:sz w:val="24"/>
          <w:szCs w:val="24"/>
          <w:lang w:eastAsia="zh-CN"/>
          <w14:textFill>
            <w14:solidFill>
              <w14:schemeClr w14:val="tx1"/>
            </w14:solidFill>
          </w14:textFill>
        </w:rPr>
        <w:t>年</w:t>
      </w:r>
      <w:r>
        <w:rPr>
          <w:rFonts w:hint="eastAsia" w:ascii="仿宋_GB2312" w:hAnsi="宋体" w:eastAsia="仿宋_GB2312" w:cs="宋体"/>
          <w:b/>
          <w:bCs/>
          <w:color w:val="000000" w:themeColor="text1"/>
          <w:sz w:val="24"/>
          <w:szCs w:val="24"/>
          <w14:textFill>
            <w14:solidFill>
              <w14:schemeClr w14:val="tx1"/>
            </w14:solidFill>
          </w14:textFill>
        </w:rPr>
        <w:t>度</w:t>
      </w:r>
      <w:r>
        <w:rPr>
          <w:rFonts w:ascii="仿宋_GB2312" w:hAnsi="宋体" w:eastAsia="仿宋_GB2312" w:cs="宋体"/>
          <w:b/>
          <w:bCs/>
          <w:color w:val="000000" w:themeColor="text1"/>
          <w:sz w:val="24"/>
          <w:szCs w:val="24"/>
          <w14:textFill>
            <w14:solidFill>
              <w14:schemeClr w14:val="tx1"/>
            </w14:solidFill>
          </w14:textFill>
        </w:rPr>
        <w:t>部门决算情况说明</w:t>
      </w:r>
      <w:r>
        <w:rPr>
          <w:rFonts w:hint="eastAsia" w:ascii="仿宋_GB2312" w:hAnsi="宋体" w:eastAsia="仿宋_GB2312" w:cs="宋体"/>
          <w:b/>
          <w:bCs/>
          <w:color w:val="000000" w:themeColor="text1"/>
          <w:sz w:val="24"/>
          <w:szCs w:val="24"/>
          <w14:textFill>
            <w14:solidFill>
              <w14:schemeClr w14:val="tx1"/>
            </w14:solidFill>
          </w14:textFill>
        </w:rPr>
        <w:t>参考</w:t>
      </w:r>
      <w:r>
        <w:rPr>
          <w:rFonts w:ascii="仿宋_GB2312" w:hAnsi="宋体" w:eastAsia="仿宋_GB2312" w:cs="宋体"/>
          <w:b/>
          <w:bCs/>
          <w:color w:val="000000" w:themeColor="text1"/>
          <w:sz w:val="24"/>
          <w:szCs w:val="24"/>
          <w14:textFill>
            <w14:solidFill>
              <w14:schemeClr w14:val="tx1"/>
            </w14:solidFill>
          </w14:textFill>
        </w:rPr>
        <w:t>模板</w:t>
      </w:r>
    </w:p>
    <w:p>
      <w:pPr>
        <w:rPr>
          <w:color w:val="000000" w:themeColor="text1"/>
          <w14:textFill>
            <w14:solidFill>
              <w14:schemeClr w14:val="tx1"/>
            </w14:solidFill>
          </w14:textFill>
        </w:rPr>
      </w:pP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lang w:eastAsia="zh-CN"/>
          <w14:textFill>
            <w14:solidFill>
              <w14:schemeClr w14:val="tx1"/>
            </w14:solidFill>
          </w14:textFill>
        </w:rPr>
        <w:t>积石山县交通运输局201</w:t>
      </w:r>
      <w:r>
        <w:rPr>
          <w:rFonts w:hint="eastAsia" w:ascii="方正小标宋简体" w:eastAsia="方正小标宋简体"/>
          <w:color w:val="000000" w:themeColor="text1"/>
          <w:sz w:val="36"/>
          <w:szCs w:val="36"/>
          <w:lang w:val="en-US" w:eastAsia="zh-CN"/>
          <w14:textFill>
            <w14:solidFill>
              <w14:schemeClr w14:val="tx1"/>
            </w14:solidFill>
          </w14:textFill>
        </w:rPr>
        <w:t>9</w:t>
      </w:r>
      <w:r>
        <w:rPr>
          <w:rFonts w:hint="eastAsia" w:ascii="方正小标宋简体" w:eastAsia="方正小标宋简体"/>
          <w:color w:val="000000" w:themeColor="text1"/>
          <w:sz w:val="36"/>
          <w:szCs w:val="36"/>
          <w:lang w:eastAsia="zh-CN"/>
          <w14:textFill>
            <w14:solidFill>
              <w14:schemeClr w14:val="tx1"/>
            </w14:solidFill>
          </w14:textFill>
        </w:rPr>
        <w:t>年</w:t>
      </w:r>
      <w:bookmarkStart w:id="0" w:name="_GoBack"/>
      <w:bookmarkEnd w:id="0"/>
      <w:r>
        <w:rPr>
          <w:rFonts w:hint="eastAsia" w:ascii="方正小标宋简体" w:eastAsia="方正小标宋简体"/>
          <w:color w:val="000000" w:themeColor="text1"/>
          <w:sz w:val="36"/>
          <w:szCs w:val="36"/>
          <w14:textFill>
            <w14:solidFill>
              <w14:schemeClr w14:val="tx1"/>
            </w14:solidFill>
          </w14:textFill>
        </w:rPr>
        <w:t>度部门决算情况说明</w:t>
      </w:r>
    </w:p>
    <w:p>
      <w:pPr>
        <w:rPr>
          <w:rFonts w:ascii="仿宋_GB2312" w:eastAsia="仿宋_GB2312"/>
          <w:color w:val="000000" w:themeColor="text1"/>
          <w:sz w:val="30"/>
          <w:szCs w:val="30"/>
          <w14:textFill>
            <w14:solidFill>
              <w14:schemeClr w14:val="tx1"/>
            </w14:solidFill>
          </w14:textFill>
        </w:rPr>
      </w:pP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一、部门基本情况</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（一）职能职责</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贯彻执行国家和省、州有关交通运输工作的方针、政策、法律法规，拟订全县公路、水路、城市交通运输行业发展战略、方针、政策并监督执行。</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承担涉及综合运输体系的规划协调工作，组织编制综合运输体系规划；负责编制全县公路、水路交通运输行业的发展规划、中长期计划和年度计划并组织实施；负责全县道路运输站场、</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码头布局规划；负责全县交通运输行业统计、发展预测、经济运行分析和信息引导工作；拟订物流业发展规划、有关政策和标准并监督实施。</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负责全县道路、水路交通运输市场监督管理；执行道路、水路运输有关政策、准入制度、技术标准和运营规范并监督实施；指导全县城市及农村客货运输管理、出租汽车行业管理、城市</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交通的运营管理，参与城市交通规划工作；组织重点物资运输和救灾、节日运输等紧急客货运输。</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负责组织全县公路、水路等综合运输基础设施的建设、维护和管理；负责重点交通基础设施项目的计划编制、前期工作、项目实施和竣工验收；负责客货运输站场、码头及航道建设与管</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理。</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负责全县交通基础设施建设市场监督管理；执行公路、水路工程建设相关政策、制度和技术标准并监督实施；负责全县交通基础设施工程质量监督、工程定额、工程造价和工程招投标工作的行业管理。</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负责局属单位劳动工资、人事调动、岗位规范、职称评聘的计划和审核上报等管理工作。</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7、</w:t>
      </w:r>
      <w:r>
        <w:rPr>
          <w:rFonts w:hint="eastAsia" w:ascii="仿宋_GB2312" w:eastAsia="仿宋_GB2312"/>
          <w:color w:val="000000" w:themeColor="text1"/>
          <w:sz w:val="30"/>
          <w:szCs w:val="30"/>
          <w14:textFill>
            <w14:solidFill>
              <w14:schemeClr w14:val="tx1"/>
            </w14:solidFill>
          </w14:textFill>
        </w:rPr>
        <w:t>指导全县交通运输行业体制改革，拟订地方性交通法规规章；负责全县交通运输行政执法、执法监督、行政诉讼、行政复议及交通法制宣传教育。</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负责全县道路运输、水路运输和公路、水运工程安全生产监督管理、指导和组织实施公路、水路行业应急管理工作；依法对交通运输行业生产经营进行安全生产监督检查。</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负责全县交通运输行业国防交通保障和民用运力动员、科技管理、节能减排、信息化建设与管理、社会治安综合治理工作。</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10、</w:t>
      </w:r>
      <w:r>
        <w:rPr>
          <w:rFonts w:hint="eastAsia" w:ascii="仿宋_GB2312" w:eastAsia="仿宋_GB2312"/>
          <w:color w:val="000000" w:themeColor="text1"/>
          <w:sz w:val="30"/>
          <w:szCs w:val="30"/>
          <w14:textFill>
            <w14:solidFill>
              <w14:schemeClr w14:val="tx1"/>
            </w14:solidFill>
          </w14:textFill>
        </w:rPr>
        <w:t>指导全县交通运输信息化建设和交通运输业科技、环保等工作。</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11、</w:t>
      </w:r>
      <w:r>
        <w:rPr>
          <w:rFonts w:hint="eastAsia" w:ascii="仿宋_GB2312" w:eastAsia="仿宋_GB2312"/>
          <w:color w:val="000000" w:themeColor="text1"/>
          <w:sz w:val="30"/>
          <w:szCs w:val="30"/>
          <w14:textFill>
            <w14:solidFill>
              <w14:schemeClr w14:val="tx1"/>
            </w14:solidFill>
          </w14:textFill>
        </w:rPr>
        <w:t>指导全县交通运输应急管理工作，承担全县交通运输战备有关工作。</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12、</w:t>
      </w:r>
      <w:r>
        <w:rPr>
          <w:rFonts w:hint="eastAsia" w:ascii="仿宋_GB2312" w:eastAsia="仿宋_GB2312"/>
          <w:color w:val="000000" w:themeColor="text1"/>
          <w:sz w:val="30"/>
          <w:szCs w:val="30"/>
          <w14:textFill>
            <w14:solidFill>
              <w14:schemeClr w14:val="tx1"/>
            </w14:solidFill>
          </w14:textFill>
        </w:rPr>
        <w:t>负责全县交通人才队伍建设、精神文明建设和廉政建设。</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13、</w:t>
      </w:r>
      <w:r>
        <w:rPr>
          <w:rFonts w:hint="eastAsia" w:ascii="仿宋_GB2312" w:eastAsia="仿宋_GB2312"/>
          <w:color w:val="000000" w:themeColor="text1"/>
          <w:sz w:val="30"/>
          <w:szCs w:val="30"/>
          <w14:textFill>
            <w14:solidFill>
              <w14:schemeClr w14:val="tx1"/>
            </w14:solidFill>
          </w14:textFill>
        </w:rPr>
        <w:t>承办县委、县政府和州交通运输局交办的其他事项。</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（二）机构设置</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积石山县交通局</w:t>
      </w:r>
      <w:r>
        <w:rPr>
          <w:rFonts w:hint="eastAsia" w:ascii="仿宋_GB2312" w:eastAsia="仿宋_GB2312"/>
          <w:color w:val="000000" w:themeColor="text1"/>
          <w:sz w:val="30"/>
          <w:szCs w:val="30"/>
          <w:lang w:eastAsia="zh-CN"/>
          <w14:textFill>
            <w14:solidFill>
              <w14:schemeClr w14:val="tx1"/>
            </w14:solidFill>
          </w14:textFill>
        </w:rPr>
        <w:t>为</w:t>
      </w:r>
      <w:r>
        <w:rPr>
          <w:rFonts w:hint="eastAsia" w:ascii="仿宋_GB2312" w:eastAsia="仿宋_GB2312"/>
          <w:color w:val="000000" w:themeColor="text1"/>
          <w:sz w:val="30"/>
          <w:szCs w:val="30"/>
          <w14:textFill>
            <w14:solidFill>
              <w14:schemeClr w14:val="tx1"/>
            </w14:solidFill>
          </w14:textFill>
        </w:rPr>
        <w:t>财政全额拨款</w:t>
      </w:r>
      <w:r>
        <w:rPr>
          <w:rFonts w:hint="eastAsia" w:ascii="仿宋_GB2312" w:eastAsia="仿宋_GB2312"/>
          <w:color w:val="000000" w:themeColor="text1"/>
          <w:sz w:val="30"/>
          <w:szCs w:val="30"/>
          <w:lang w:eastAsia="zh-CN"/>
          <w14:textFill>
            <w14:solidFill>
              <w14:schemeClr w14:val="tx1"/>
            </w14:solidFill>
          </w14:textFill>
        </w:rPr>
        <w:t>行政</w:t>
      </w:r>
      <w:r>
        <w:rPr>
          <w:rFonts w:hint="eastAsia" w:ascii="仿宋_GB2312" w:eastAsia="仿宋_GB2312"/>
          <w:color w:val="000000" w:themeColor="text1"/>
          <w:sz w:val="30"/>
          <w:szCs w:val="30"/>
          <w14:textFill>
            <w14:solidFill>
              <w14:schemeClr w14:val="tx1"/>
            </w14:solidFill>
          </w14:textFill>
        </w:rPr>
        <w:t>单位。</w:t>
      </w:r>
      <w:r>
        <w:rPr>
          <w:rFonts w:hint="eastAsia" w:ascii="仿宋_GB2312" w:eastAsia="仿宋_GB2312"/>
          <w:color w:val="000000" w:themeColor="text1"/>
          <w:sz w:val="30"/>
          <w:szCs w:val="30"/>
          <w:lang w:eastAsia="zh-CN"/>
          <w14:textFill>
            <w14:solidFill>
              <w14:schemeClr w14:val="tx1"/>
            </w14:solidFill>
          </w14:textFill>
        </w:rPr>
        <w:t>实有人数</w:t>
      </w:r>
      <w:r>
        <w:rPr>
          <w:rFonts w:hint="eastAsia" w:ascii="仿宋_GB2312" w:eastAsia="仿宋_GB2312"/>
          <w:color w:val="000000" w:themeColor="text1"/>
          <w:sz w:val="30"/>
          <w:szCs w:val="30"/>
          <w:lang w:val="en-US" w:eastAsia="zh-CN"/>
          <w14:textFill>
            <w14:solidFill>
              <w14:schemeClr w14:val="tx1"/>
            </w14:solidFill>
          </w14:textFill>
        </w:rPr>
        <w:t>56人编制数57人，其中：</w:t>
      </w:r>
      <w:r>
        <w:rPr>
          <w:rFonts w:hint="eastAsia" w:ascii="仿宋_GB2312" w:eastAsia="仿宋_GB2312"/>
          <w:color w:val="000000" w:themeColor="text1"/>
          <w:sz w:val="30"/>
          <w:szCs w:val="30"/>
          <w14:textFill>
            <w14:solidFill>
              <w14:schemeClr w14:val="tx1"/>
            </w14:solidFill>
          </w14:textFill>
        </w:rPr>
        <w:t>行政编制</w:t>
      </w:r>
      <w:r>
        <w:rPr>
          <w:rFonts w:hint="eastAsia" w:ascii="仿宋_GB2312" w:eastAsia="仿宋_GB2312"/>
          <w:color w:val="000000" w:themeColor="text1"/>
          <w:sz w:val="30"/>
          <w:szCs w:val="30"/>
          <w:lang w:val="en-US" w:eastAsia="zh-CN"/>
          <w14:textFill>
            <w14:solidFill>
              <w14:schemeClr w14:val="tx1"/>
            </w14:solidFill>
          </w14:textFill>
        </w:rPr>
        <w:t>10</w:t>
      </w:r>
      <w:r>
        <w:rPr>
          <w:rFonts w:hint="eastAsia" w:ascii="仿宋_GB2312" w:eastAsia="仿宋_GB2312"/>
          <w:color w:val="000000" w:themeColor="text1"/>
          <w:sz w:val="30"/>
          <w:szCs w:val="30"/>
          <w14:textFill>
            <w14:solidFill>
              <w14:schemeClr w14:val="tx1"/>
            </w14:solidFill>
          </w14:textFill>
        </w:rPr>
        <w:t>名</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事业编制</w:t>
      </w:r>
      <w:r>
        <w:rPr>
          <w:rFonts w:hint="eastAsia" w:ascii="仿宋_GB2312" w:eastAsia="仿宋_GB2312"/>
          <w:color w:val="000000" w:themeColor="text1"/>
          <w:sz w:val="30"/>
          <w:szCs w:val="30"/>
          <w:lang w:val="en-US" w:eastAsia="zh-CN"/>
          <w14:textFill>
            <w14:solidFill>
              <w14:schemeClr w14:val="tx1"/>
            </w14:solidFill>
          </w14:textFill>
        </w:rPr>
        <w:t>47</w:t>
      </w:r>
      <w:r>
        <w:rPr>
          <w:rFonts w:hint="eastAsia" w:ascii="仿宋_GB2312" w:eastAsia="仿宋_GB2312"/>
          <w:color w:val="000000" w:themeColor="text1"/>
          <w:sz w:val="30"/>
          <w:szCs w:val="30"/>
          <w14:textFill>
            <w14:solidFill>
              <w14:schemeClr w14:val="tx1"/>
            </w14:solidFill>
          </w14:textFill>
        </w:rPr>
        <w:t>名。单位下设人事秘书股、财务股、综合规划股、建设管理股、安全监督股等 5 个股室</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w:t>
      </w:r>
      <w:r>
        <w:rPr>
          <w:rFonts w:hint="eastAsia" w:ascii="黑体" w:hAnsi="黑体" w:eastAsia="黑体"/>
          <w:color w:val="000000" w:themeColor="text1"/>
          <w:sz w:val="30"/>
          <w:szCs w:val="30"/>
          <w:lang w:eastAsia="zh-CN"/>
          <w14:textFill>
            <w14:solidFill>
              <w14:schemeClr w14:val="tx1"/>
            </w14:solidFill>
          </w14:textFill>
        </w:rPr>
        <w:t>201</w:t>
      </w:r>
      <w:r>
        <w:rPr>
          <w:rFonts w:hint="eastAsia" w:ascii="黑体" w:hAnsi="黑体" w:eastAsia="黑体"/>
          <w:color w:val="000000" w:themeColor="text1"/>
          <w:sz w:val="30"/>
          <w:szCs w:val="30"/>
          <w:lang w:val="en-US" w:eastAsia="zh-CN"/>
          <w14:textFill>
            <w14:solidFill>
              <w14:schemeClr w14:val="tx1"/>
            </w14:solidFill>
          </w14:textFill>
        </w:rPr>
        <w:t>9</w:t>
      </w:r>
      <w:r>
        <w:rPr>
          <w:rFonts w:hint="eastAsia" w:ascii="黑体" w:hAnsi="黑体" w:eastAsia="黑体"/>
          <w:color w:val="000000" w:themeColor="text1"/>
          <w:sz w:val="30"/>
          <w:szCs w:val="30"/>
          <w:lang w:eastAsia="zh-CN"/>
          <w14:textFill>
            <w14:solidFill>
              <w14:schemeClr w14:val="tx1"/>
            </w14:solidFill>
          </w14:textFill>
        </w:rPr>
        <w:t>年</w:t>
      </w:r>
      <w:r>
        <w:rPr>
          <w:rFonts w:hint="eastAsia" w:ascii="黑体" w:hAnsi="黑体" w:eastAsia="黑体"/>
          <w:color w:val="000000" w:themeColor="text1"/>
          <w:sz w:val="30"/>
          <w:szCs w:val="30"/>
          <w14:textFill>
            <w14:solidFill>
              <w14:schemeClr w14:val="tx1"/>
            </w14:solidFill>
          </w14:textFill>
        </w:rPr>
        <w:t>度部门决算报表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表一：收入支出决算总表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表二：收入决算表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表三：支出决算表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表四：财政拨款收入支出决算总表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表五：一般公共预算财政拨款支出决算表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表六：一般公共预算财政拨款基本支出决算表</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表七：一般公共预算财政拨款“三公”经费支出决算</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表八：表政府性基金预算财政拨款收入支出决算表</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w:t>
      </w:r>
      <w:r>
        <w:rPr>
          <w:rFonts w:hint="eastAsia" w:ascii="黑体" w:hAnsi="黑体" w:eastAsia="黑体"/>
          <w:color w:val="000000" w:themeColor="text1"/>
          <w:sz w:val="30"/>
          <w:szCs w:val="30"/>
          <w:lang w:eastAsia="zh-CN"/>
          <w14:textFill>
            <w14:solidFill>
              <w14:schemeClr w14:val="tx1"/>
            </w14:solidFill>
          </w14:textFill>
        </w:rPr>
        <w:t>201</w:t>
      </w:r>
      <w:r>
        <w:rPr>
          <w:rFonts w:hint="eastAsia" w:ascii="黑体" w:hAnsi="黑体" w:eastAsia="黑体"/>
          <w:color w:val="000000" w:themeColor="text1"/>
          <w:sz w:val="30"/>
          <w:szCs w:val="30"/>
          <w:lang w:val="en-US" w:eastAsia="zh-CN"/>
          <w14:textFill>
            <w14:solidFill>
              <w14:schemeClr w14:val="tx1"/>
            </w14:solidFill>
          </w14:textFill>
        </w:rPr>
        <w:t>9</w:t>
      </w:r>
      <w:r>
        <w:rPr>
          <w:rFonts w:hint="eastAsia" w:ascii="黑体" w:hAnsi="黑体" w:eastAsia="黑体"/>
          <w:color w:val="000000" w:themeColor="text1"/>
          <w:sz w:val="30"/>
          <w:szCs w:val="30"/>
          <w:lang w:eastAsia="zh-CN"/>
          <w14:textFill>
            <w14:solidFill>
              <w14:schemeClr w14:val="tx1"/>
            </w14:solidFill>
          </w14:textFill>
        </w:rPr>
        <w:t>年</w:t>
      </w:r>
      <w:r>
        <w:rPr>
          <w:rFonts w:hint="eastAsia" w:ascii="黑体" w:hAnsi="黑体" w:eastAsia="黑体"/>
          <w:color w:val="000000" w:themeColor="text1"/>
          <w:sz w:val="30"/>
          <w:szCs w:val="30"/>
          <w14:textFill>
            <w14:solidFill>
              <w14:schemeClr w14:val="tx1"/>
            </w14:solidFill>
          </w14:textFill>
        </w:rPr>
        <w:t>度部门决算情况说明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（一）收入支出决算总体情况说明</w:t>
      </w:r>
    </w:p>
    <w:p>
      <w:pPr>
        <w:ind w:firstLine="600" w:firstLineChars="200"/>
        <w:rPr>
          <w:rFonts w:hint="eastAsia" w:ascii="仿宋_GB2312" w:eastAsia="仿宋_GB2312"/>
          <w:color w:val="000000" w:themeColor="text1"/>
          <w:sz w:val="30"/>
          <w:szCs w:val="30"/>
          <w:highlight w:val="none"/>
          <w:lang w:eastAsia="zh-CN"/>
          <w14:textFill>
            <w14:solidFill>
              <w14:schemeClr w14:val="tx1"/>
            </w14:solidFill>
          </w14:textFill>
        </w:rPr>
      </w:pPr>
      <w:r>
        <w:rPr>
          <w:rFonts w:hint="eastAsia" w:ascii="仿宋_GB2312" w:eastAsia="仿宋_GB2312"/>
          <w:color w:val="000000" w:themeColor="text1"/>
          <w:sz w:val="30"/>
          <w:szCs w:val="30"/>
          <w:highlight w:val="none"/>
          <w14:textFill>
            <w14:solidFill>
              <w14:schemeClr w14:val="tx1"/>
            </w14:solidFill>
          </w14:textFill>
        </w:rPr>
        <w:t xml:space="preserve"> 本部门</w:t>
      </w:r>
      <w:r>
        <w:rPr>
          <w:rFonts w:hint="eastAsia" w:ascii="仿宋_GB2312" w:eastAsia="仿宋_GB2312"/>
          <w:color w:val="000000" w:themeColor="text1"/>
          <w:sz w:val="30"/>
          <w:szCs w:val="30"/>
          <w:highlight w:val="none"/>
          <w:lang w:eastAsia="zh-CN"/>
          <w14:textFill>
            <w14:solidFill>
              <w14:schemeClr w14:val="tx1"/>
            </w14:solidFill>
          </w14:textFill>
        </w:rPr>
        <w:t>201</w:t>
      </w:r>
      <w:r>
        <w:rPr>
          <w:rFonts w:hint="eastAsia" w:ascii="仿宋_GB2312" w:eastAsia="仿宋_GB2312"/>
          <w:color w:val="000000" w:themeColor="text1"/>
          <w:sz w:val="30"/>
          <w:szCs w:val="30"/>
          <w:highlight w:val="none"/>
          <w:lang w:val="en-US" w:eastAsia="zh-CN"/>
          <w14:textFill>
            <w14:solidFill>
              <w14:schemeClr w14:val="tx1"/>
            </w14:solidFill>
          </w14:textFill>
        </w:rPr>
        <w:t>9</w:t>
      </w:r>
      <w:r>
        <w:rPr>
          <w:rFonts w:hint="eastAsia" w:ascii="仿宋_GB2312" w:eastAsia="仿宋_GB2312"/>
          <w:color w:val="000000" w:themeColor="text1"/>
          <w:sz w:val="30"/>
          <w:szCs w:val="30"/>
          <w:highlight w:val="none"/>
          <w:lang w:eastAsia="zh-CN"/>
          <w14:textFill>
            <w14:solidFill>
              <w14:schemeClr w14:val="tx1"/>
            </w14:solidFill>
          </w14:textFill>
        </w:rPr>
        <w:t>年</w:t>
      </w:r>
      <w:r>
        <w:rPr>
          <w:rFonts w:hint="eastAsia" w:ascii="仿宋_GB2312" w:eastAsia="仿宋_GB2312"/>
          <w:color w:val="000000" w:themeColor="text1"/>
          <w:sz w:val="30"/>
          <w:szCs w:val="30"/>
          <w:highlight w:val="none"/>
          <w14:textFill>
            <w14:solidFill>
              <w14:schemeClr w14:val="tx1"/>
            </w14:solidFill>
          </w14:textFill>
        </w:rPr>
        <w:t>度收入总计</w:t>
      </w:r>
      <w:r>
        <w:rPr>
          <w:rFonts w:hint="eastAsia" w:ascii="仿宋_GB2312" w:eastAsia="仿宋_GB2312"/>
          <w:color w:val="000000" w:themeColor="text1"/>
          <w:sz w:val="30"/>
          <w:szCs w:val="30"/>
          <w:highlight w:val="none"/>
          <w:lang w:val="en-US" w:eastAsia="zh-CN"/>
          <w14:textFill>
            <w14:solidFill>
              <w14:schemeClr w14:val="tx1"/>
            </w14:solidFill>
          </w14:textFill>
        </w:rPr>
        <w:t>156631481.38</w:t>
      </w:r>
      <w:r>
        <w:rPr>
          <w:rFonts w:hint="eastAsia" w:ascii="仿宋_GB2312" w:eastAsia="仿宋_GB2312"/>
          <w:color w:val="000000" w:themeColor="text1"/>
          <w:sz w:val="30"/>
          <w:szCs w:val="30"/>
          <w:highlight w:val="none"/>
          <w:lang w:eastAsia="zh-CN"/>
          <w14:textFill>
            <w14:solidFill>
              <w14:schemeClr w14:val="tx1"/>
            </w14:solidFill>
          </w14:textFill>
        </w:rPr>
        <w:t>元</w:t>
      </w:r>
      <w:r>
        <w:rPr>
          <w:rFonts w:hint="eastAsia" w:ascii="仿宋_GB2312" w:eastAsia="仿宋_GB2312"/>
          <w:color w:val="000000" w:themeColor="text1"/>
          <w:sz w:val="30"/>
          <w:szCs w:val="30"/>
          <w:highlight w:val="none"/>
          <w14:textFill>
            <w14:solidFill>
              <w14:schemeClr w14:val="tx1"/>
            </w14:solidFill>
          </w14:textFill>
        </w:rPr>
        <w:t>，支出总计</w:t>
      </w:r>
      <w:r>
        <w:rPr>
          <w:rFonts w:hint="eastAsia" w:ascii="仿宋_GB2312" w:eastAsia="仿宋_GB2312"/>
          <w:color w:val="000000" w:themeColor="text1"/>
          <w:sz w:val="30"/>
          <w:szCs w:val="30"/>
          <w:highlight w:val="none"/>
          <w:lang w:val="en-US" w:eastAsia="zh-CN"/>
          <w14:textFill>
            <w14:solidFill>
              <w14:schemeClr w14:val="tx1"/>
            </w14:solidFill>
          </w14:textFill>
        </w:rPr>
        <w:t>156631481.38</w:t>
      </w:r>
      <w:r>
        <w:rPr>
          <w:rFonts w:hint="eastAsia" w:ascii="仿宋_GB2312" w:eastAsia="仿宋_GB2312"/>
          <w:color w:val="000000" w:themeColor="text1"/>
          <w:sz w:val="30"/>
          <w:szCs w:val="30"/>
          <w:highlight w:val="none"/>
          <w:lang w:eastAsia="zh-CN"/>
          <w14:textFill>
            <w14:solidFill>
              <w14:schemeClr w14:val="tx1"/>
            </w14:solidFill>
          </w14:textFill>
        </w:rPr>
        <w:t>元</w:t>
      </w:r>
      <w:r>
        <w:rPr>
          <w:rFonts w:hint="eastAsia" w:ascii="仿宋_GB2312" w:eastAsia="仿宋_GB2312"/>
          <w:color w:val="000000" w:themeColor="text1"/>
          <w:sz w:val="30"/>
          <w:szCs w:val="30"/>
          <w:highlight w:val="none"/>
          <w14:textFill>
            <w14:solidFill>
              <w14:schemeClr w14:val="tx1"/>
            </w14:solidFill>
          </w14:textFill>
        </w:rPr>
        <w:t>。与201</w:t>
      </w:r>
      <w:r>
        <w:rPr>
          <w:rFonts w:hint="eastAsia" w:ascii="仿宋_GB2312" w:eastAsia="仿宋_GB2312"/>
          <w:color w:val="000000" w:themeColor="text1"/>
          <w:sz w:val="30"/>
          <w:szCs w:val="30"/>
          <w:highlight w:val="none"/>
          <w:lang w:val="en-US" w:eastAsia="zh-CN"/>
          <w14:textFill>
            <w14:solidFill>
              <w14:schemeClr w14:val="tx1"/>
            </w14:solidFill>
          </w14:textFill>
        </w:rPr>
        <w:t>8</w:t>
      </w:r>
      <w:r>
        <w:rPr>
          <w:rFonts w:hint="eastAsia" w:ascii="仿宋_GB2312" w:eastAsia="仿宋_GB2312"/>
          <w:color w:val="000000" w:themeColor="text1"/>
          <w:sz w:val="30"/>
          <w:szCs w:val="30"/>
          <w:highlight w:val="none"/>
          <w14:textFill>
            <w14:solidFill>
              <w14:schemeClr w14:val="tx1"/>
            </w14:solidFill>
          </w14:textFill>
        </w:rPr>
        <w:t>年决算数相比，收入</w:t>
      </w:r>
      <w:r>
        <w:rPr>
          <w:rFonts w:hint="eastAsia" w:ascii="仿宋_GB2312" w:eastAsia="仿宋_GB2312"/>
          <w:color w:val="000000" w:themeColor="text1"/>
          <w:sz w:val="30"/>
          <w:szCs w:val="30"/>
          <w:highlight w:val="none"/>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118682874.08</w:t>
      </w:r>
      <w:r>
        <w:rPr>
          <w:rFonts w:hint="eastAsia" w:ascii="仿宋_GB2312" w:eastAsia="仿宋_GB2312"/>
          <w:color w:val="000000" w:themeColor="text1"/>
          <w:sz w:val="30"/>
          <w:szCs w:val="30"/>
          <w:highlight w:val="none"/>
          <w:lang w:eastAsia="zh-CN"/>
          <w14:textFill>
            <w14:solidFill>
              <w14:schemeClr w14:val="tx1"/>
            </w14:solidFill>
          </w14:textFill>
        </w:rPr>
        <w:t>元</w:t>
      </w:r>
      <w:r>
        <w:rPr>
          <w:rFonts w:hint="eastAsia" w:ascii="仿宋_GB2312" w:eastAsia="仿宋_GB2312"/>
          <w:color w:val="000000" w:themeColor="text1"/>
          <w:sz w:val="30"/>
          <w:szCs w:val="30"/>
          <w:highlight w:val="none"/>
          <w14:textFill>
            <w14:solidFill>
              <w14:schemeClr w14:val="tx1"/>
            </w14:solidFill>
          </w14:textFill>
        </w:rPr>
        <w:t>，</w:t>
      </w:r>
      <w:r>
        <w:rPr>
          <w:rFonts w:hint="eastAsia" w:ascii="仿宋_GB2312" w:eastAsia="仿宋_GB2312"/>
          <w:color w:val="000000" w:themeColor="text1"/>
          <w:sz w:val="30"/>
          <w:szCs w:val="30"/>
          <w:highlight w:val="none"/>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312.7</w:t>
      </w:r>
      <w:r>
        <w:rPr>
          <w:rFonts w:hint="eastAsia" w:ascii="仿宋_GB2312" w:eastAsia="仿宋_GB2312"/>
          <w:color w:val="000000" w:themeColor="text1"/>
          <w:sz w:val="30"/>
          <w:szCs w:val="30"/>
          <w:highlight w:val="none"/>
          <w14:textFill>
            <w14:solidFill>
              <w14:schemeClr w14:val="tx1"/>
            </w14:solidFill>
          </w14:textFill>
        </w:rPr>
        <w:t>%，支出</w:t>
      </w:r>
      <w:r>
        <w:rPr>
          <w:rFonts w:hint="eastAsia" w:ascii="仿宋_GB2312" w:eastAsia="仿宋_GB2312"/>
          <w:color w:val="000000" w:themeColor="text1"/>
          <w:sz w:val="30"/>
          <w:szCs w:val="30"/>
          <w:highlight w:val="none"/>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118682874.08</w:t>
      </w:r>
      <w:r>
        <w:rPr>
          <w:rFonts w:hint="eastAsia" w:ascii="仿宋_GB2312" w:eastAsia="仿宋_GB2312"/>
          <w:color w:val="000000" w:themeColor="text1"/>
          <w:sz w:val="30"/>
          <w:szCs w:val="30"/>
          <w:highlight w:val="none"/>
          <w:lang w:eastAsia="zh-CN"/>
          <w14:textFill>
            <w14:solidFill>
              <w14:schemeClr w14:val="tx1"/>
            </w14:solidFill>
          </w14:textFill>
        </w:rPr>
        <w:t>元</w:t>
      </w:r>
      <w:r>
        <w:rPr>
          <w:rFonts w:ascii="仿宋_GB2312" w:eastAsia="仿宋_GB2312"/>
          <w:color w:val="000000" w:themeColor="text1"/>
          <w:sz w:val="30"/>
          <w:szCs w:val="30"/>
          <w:highlight w:val="none"/>
          <w14:textFill>
            <w14:solidFill>
              <w14:schemeClr w14:val="tx1"/>
            </w14:solidFill>
          </w14:textFill>
        </w:rPr>
        <w:t>，</w:t>
      </w:r>
      <w:r>
        <w:rPr>
          <w:rFonts w:hint="eastAsia" w:ascii="仿宋_GB2312" w:eastAsia="仿宋_GB2312"/>
          <w:color w:val="000000" w:themeColor="text1"/>
          <w:sz w:val="30"/>
          <w:szCs w:val="30"/>
          <w:highlight w:val="none"/>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312.7</w:t>
      </w:r>
      <w:r>
        <w:rPr>
          <w:rFonts w:hint="eastAsia" w:ascii="仿宋_GB2312" w:eastAsia="仿宋_GB2312"/>
          <w:color w:val="000000" w:themeColor="text1"/>
          <w:sz w:val="30"/>
          <w:szCs w:val="30"/>
          <w:highlight w:val="none"/>
          <w14:textFill>
            <w14:solidFill>
              <w14:schemeClr w14:val="tx1"/>
            </w14:solidFill>
          </w14:textFill>
        </w:rPr>
        <w:t>%。主要原因是</w:t>
      </w:r>
      <w:r>
        <w:rPr>
          <w:rFonts w:hint="eastAsia" w:ascii="仿宋_GB2312" w:eastAsia="仿宋_GB2312"/>
          <w:color w:val="000000" w:themeColor="text1"/>
          <w:sz w:val="30"/>
          <w:szCs w:val="30"/>
          <w:highlight w:val="none"/>
          <w:lang w:eastAsia="zh-CN"/>
          <w14:textFill>
            <w14:solidFill>
              <w14:schemeClr w14:val="tx1"/>
            </w14:solidFill>
          </w14:textFill>
        </w:rPr>
        <w:t>专项资金收入和支出增加。</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度收入合计</w:t>
      </w:r>
      <w:r>
        <w:rPr>
          <w:rFonts w:hint="eastAsia" w:ascii="仿宋_GB2312" w:eastAsia="仿宋_GB2312"/>
          <w:color w:val="000000" w:themeColor="text1"/>
          <w:sz w:val="30"/>
          <w:szCs w:val="30"/>
          <w:lang w:val="en-US" w:eastAsia="zh-CN"/>
          <w14:textFill>
            <w14:solidFill>
              <w14:schemeClr w14:val="tx1"/>
            </w14:solidFill>
          </w14:textFill>
        </w:rPr>
        <w:t>150293388.5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，其中：财政拨款收入</w:t>
      </w:r>
      <w:r>
        <w:rPr>
          <w:rFonts w:hint="eastAsia" w:ascii="仿宋_GB2312" w:eastAsia="仿宋_GB2312"/>
          <w:color w:val="000000" w:themeColor="text1"/>
          <w:sz w:val="30"/>
          <w:szCs w:val="30"/>
          <w:lang w:val="en-US" w:eastAsia="zh-CN"/>
          <w14:textFill>
            <w14:solidFill>
              <w14:schemeClr w14:val="tx1"/>
            </w14:solidFill>
          </w14:textFill>
        </w:rPr>
        <w:t>150293388.5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 xml:space="preserve"> </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度支出合计</w:t>
      </w:r>
      <w:r>
        <w:rPr>
          <w:rFonts w:hint="eastAsia" w:ascii="仿宋_GB2312" w:eastAsia="仿宋_GB2312"/>
          <w:color w:val="000000" w:themeColor="text1"/>
          <w:sz w:val="30"/>
          <w:szCs w:val="30"/>
          <w:lang w:val="en-US" w:eastAsia="zh-CN"/>
          <w14:textFill>
            <w14:solidFill>
              <w14:schemeClr w14:val="tx1"/>
            </w14:solidFill>
          </w14:textFill>
        </w:rPr>
        <w:t>152754388.39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，其中：基本支出</w:t>
      </w:r>
      <w:r>
        <w:rPr>
          <w:rFonts w:hint="eastAsia" w:ascii="仿宋_GB2312" w:eastAsia="仿宋_GB2312"/>
          <w:color w:val="000000" w:themeColor="text1"/>
          <w:sz w:val="30"/>
          <w:szCs w:val="30"/>
          <w:lang w:val="en-US" w:eastAsia="zh-CN"/>
          <w14:textFill>
            <w14:solidFill>
              <w14:schemeClr w14:val="tx1"/>
            </w14:solidFill>
          </w14:textFill>
        </w:rPr>
        <w:t>5432428.62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3.56</w:t>
      </w:r>
      <w:r>
        <w:rPr>
          <w:rFonts w:hint="eastAsia" w:ascii="仿宋_GB2312" w:eastAsia="仿宋_GB2312"/>
          <w:color w:val="000000" w:themeColor="text1"/>
          <w:sz w:val="30"/>
          <w:szCs w:val="30"/>
          <w14:textFill>
            <w14:solidFill>
              <w14:schemeClr w14:val="tx1"/>
            </w14:solidFill>
          </w14:textFill>
        </w:rPr>
        <w:t>%； 项目支出</w:t>
      </w:r>
      <w:r>
        <w:rPr>
          <w:rFonts w:hint="eastAsia" w:ascii="仿宋_GB2312" w:eastAsia="仿宋_GB2312"/>
          <w:color w:val="000000" w:themeColor="text1"/>
          <w:sz w:val="30"/>
          <w:szCs w:val="30"/>
          <w:lang w:val="en-US" w:eastAsia="zh-CN"/>
          <w14:textFill>
            <w14:solidFill>
              <w14:schemeClr w14:val="tx1"/>
            </w14:solidFill>
          </w14:textFill>
        </w:rPr>
        <w:t>147321959.77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96.44</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度年末结转和结余</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2019年全部项目资金和基本支出都是财政直接支付和授权支付。</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度财政拨款收入</w:t>
      </w:r>
      <w:r>
        <w:rPr>
          <w:rFonts w:hint="eastAsia" w:ascii="仿宋_GB2312" w:eastAsia="仿宋_GB2312"/>
          <w:color w:val="000000" w:themeColor="text1"/>
          <w:sz w:val="30"/>
          <w:szCs w:val="30"/>
          <w:lang w:val="en-US" w:eastAsia="zh-CN"/>
          <w14:textFill>
            <w14:solidFill>
              <w14:schemeClr w14:val="tx1"/>
            </w14:solidFill>
          </w14:textFill>
        </w:rPr>
        <w:t>150293388.5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118682874.08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312.7</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基本收入和项目资金增加</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118682874.08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312.7</w:t>
      </w:r>
      <w:r>
        <w:rPr>
          <w:rFonts w:hint="eastAsia" w:ascii="仿宋_GB2312" w:eastAsia="仿宋_GB2312"/>
          <w:color w:val="000000" w:themeColor="text1"/>
          <w:sz w:val="30"/>
          <w:szCs w:val="30"/>
          <w14:textFill>
            <w14:solidFill>
              <w14:schemeClr w14:val="tx1"/>
            </w14:solidFill>
          </w14:textFill>
        </w:rPr>
        <w:t>%。主要原因是基础设施建设专项</w:t>
      </w:r>
      <w:r>
        <w:rPr>
          <w:rFonts w:hint="eastAsia" w:ascii="仿宋_GB2312" w:eastAsia="仿宋_GB2312"/>
          <w:color w:val="000000" w:themeColor="text1"/>
          <w:sz w:val="30"/>
          <w:szCs w:val="30"/>
          <w:lang w:eastAsia="zh-CN"/>
          <w14:textFill>
            <w14:solidFill>
              <w14:schemeClr w14:val="tx1"/>
            </w14:solidFill>
          </w14:textFill>
        </w:rPr>
        <w:t>资金增加</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w:t>
      </w:r>
      <w:r>
        <w:rPr>
          <w:rFonts w:hint="eastAsia" w:ascii="仿宋_GB2312" w:eastAsia="仿宋_GB2312"/>
          <w:color w:val="000000" w:themeColor="text1"/>
          <w:sz w:val="30"/>
          <w:szCs w:val="30"/>
          <w:lang w:val="en-US" w:eastAsia="zh-CN"/>
          <w14:textFill>
            <w14:solidFill>
              <w14:schemeClr w14:val="tx1"/>
            </w14:solidFill>
          </w14:textFill>
        </w:rPr>
        <w:t>152754388.39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118682874.08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312.7</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基本收入和项目资金增加</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118682874.08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312.7</w:t>
      </w:r>
      <w:r>
        <w:rPr>
          <w:rFonts w:hint="eastAsia" w:ascii="仿宋_GB2312" w:eastAsia="仿宋_GB2312"/>
          <w:color w:val="000000" w:themeColor="text1"/>
          <w:sz w:val="30"/>
          <w:szCs w:val="30"/>
          <w14:textFill>
            <w14:solidFill>
              <w14:schemeClr w14:val="tx1"/>
            </w14:solidFill>
          </w14:textFill>
        </w:rPr>
        <w:t>%。主要原因是基础设施建设专项</w:t>
      </w:r>
      <w:r>
        <w:rPr>
          <w:rFonts w:hint="eastAsia" w:ascii="仿宋_GB2312" w:eastAsia="仿宋_GB2312"/>
          <w:color w:val="000000" w:themeColor="text1"/>
          <w:sz w:val="30"/>
          <w:szCs w:val="30"/>
          <w:lang w:eastAsia="zh-CN"/>
          <w14:textFill>
            <w14:solidFill>
              <w14:schemeClr w14:val="tx1"/>
            </w14:solidFill>
          </w14:textFill>
        </w:rPr>
        <w:t>资金增加</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4671147.26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3.1</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社会保障和就业</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418790.4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0.2</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农林水支出</w:t>
      </w:r>
      <w:r>
        <w:rPr>
          <w:rFonts w:hint="eastAsia" w:ascii="仿宋_GB2312" w:eastAsia="仿宋_GB2312"/>
          <w:color w:val="000000" w:themeColor="text1"/>
          <w:sz w:val="30"/>
          <w:szCs w:val="30"/>
          <w:lang w:val="en-US" w:eastAsia="zh-CN"/>
          <w14:textFill>
            <w14:solidFill>
              <w14:schemeClr w14:val="tx1"/>
            </w14:solidFill>
          </w14:textFill>
        </w:rPr>
        <w:t>53753700元，占35.2%，</w:t>
      </w:r>
      <w:r>
        <w:rPr>
          <w:rFonts w:hint="eastAsia" w:ascii="仿宋_GB2312" w:eastAsia="仿宋_GB2312"/>
          <w:color w:val="000000" w:themeColor="text1"/>
          <w:sz w:val="30"/>
          <w:szCs w:val="30"/>
          <w14:textFill>
            <w14:solidFill>
              <w14:schemeClr w14:val="tx1"/>
            </w14:solidFill>
          </w14:textFill>
        </w:rPr>
        <w:t>交通运输支出</w:t>
      </w:r>
      <w:r>
        <w:rPr>
          <w:rFonts w:hint="eastAsia" w:ascii="仿宋_GB2312" w:eastAsia="仿宋_GB2312"/>
          <w:color w:val="000000" w:themeColor="text1"/>
          <w:sz w:val="30"/>
          <w:szCs w:val="30"/>
          <w:lang w:val="en-US" w:eastAsia="zh-CN"/>
          <w14:textFill>
            <w14:solidFill>
              <w14:schemeClr w14:val="tx1"/>
            </w14:solidFill>
          </w14:textFill>
        </w:rPr>
        <w:t>93910750.73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61.5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跟年初预算数一样，</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本年未调整预算。</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（三）一般公共预算财政拨款基本支出决算情况说明</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5286828.62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。其中：人员经费</w:t>
      </w:r>
      <w:r>
        <w:rPr>
          <w:rFonts w:hint="eastAsia" w:ascii="仿宋_GB2312" w:eastAsia="仿宋_GB2312"/>
          <w:color w:val="000000" w:themeColor="text1"/>
          <w:sz w:val="30"/>
          <w:szCs w:val="30"/>
          <w:lang w:val="en-US" w:eastAsia="zh-CN"/>
          <w14:textFill>
            <w14:solidFill>
              <w14:schemeClr w14:val="tx1"/>
            </w14:solidFill>
          </w14:textFill>
        </w:rPr>
        <w:t>4851926.36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 较上年</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402499.74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退休减</w:t>
      </w:r>
      <w:r>
        <w:rPr>
          <w:rFonts w:hint="eastAsia" w:ascii="仿宋_GB2312" w:eastAsia="仿宋_GB2312"/>
          <w:color w:val="000000" w:themeColor="text1"/>
          <w:sz w:val="30"/>
          <w:szCs w:val="30"/>
          <w14:textFill>
            <w14:solidFill>
              <w14:schemeClr w14:val="tx1"/>
            </w14:solidFill>
          </w14:textFill>
        </w:rPr>
        <w:t>资。人员经费用途主要包括基本工资、津贴补贴、奖金、社会保障缴费。公用经费</w:t>
      </w:r>
      <w:r>
        <w:rPr>
          <w:rFonts w:hint="eastAsia" w:ascii="仿宋_GB2312" w:eastAsia="仿宋_GB2312"/>
          <w:color w:val="000000" w:themeColor="text1"/>
          <w:sz w:val="30"/>
          <w:szCs w:val="30"/>
          <w:lang w:val="en-US" w:eastAsia="zh-CN"/>
          <w14:textFill>
            <w14:solidFill>
              <w14:schemeClr w14:val="tx1"/>
            </w14:solidFill>
          </w14:textFill>
        </w:rPr>
        <w:t>434902.26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44526.45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，公用经费用途主要包括办公费、</w:t>
      </w:r>
      <w:r>
        <w:rPr>
          <w:rFonts w:hint="eastAsia" w:ascii="仿宋_GB2312" w:eastAsia="仿宋_GB2312"/>
          <w:color w:val="000000" w:themeColor="text1"/>
          <w:sz w:val="30"/>
          <w:szCs w:val="30"/>
          <w:lang w:eastAsia="zh-CN"/>
          <w14:textFill>
            <w14:solidFill>
              <w14:schemeClr w14:val="tx1"/>
            </w14:solidFill>
          </w14:textFill>
        </w:rPr>
        <w:t>差旅费</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邮电费</w:t>
      </w:r>
      <w:r>
        <w:rPr>
          <w:rFonts w:hint="eastAsia" w:ascii="仿宋_GB2312" w:eastAsia="仿宋_GB2312"/>
          <w:color w:val="000000" w:themeColor="text1"/>
          <w:sz w:val="30"/>
          <w:szCs w:val="30"/>
          <w14:textFill>
            <w14:solidFill>
              <w14:schemeClr w14:val="tx1"/>
            </w14:solidFill>
          </w14:textFill>
        </w:rPr>
        <w:t>、手续费等</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四、“三公”经费情况说明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“三公”经费支出总额情况。</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年度本部门“三公”经费支出共计</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车辆运行费减少，单位未产生接待费用。</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 xml:space="preserve"> 五、其他需要说明的事项</w:t>
      </w:r>
    </w:p>
    <w:p>
      <w:pPr>
        <w:ind w:firstLine="602"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 机关运行经费情况说明。</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本部门机关运行经费支出</w:t>
      </w:r>
      <w:r>
        <w:rPr>
          <w:rFonts w:hint="eastAsia" w:ascii="仿宋_GB2312" w:eastAsia="仿宋_GB2312"/>
          <w:color w:val="000000" w:themeColor="text1"/>
          <w:sz w:val="30"/>
          <w:szCs w:val="30"/>
          <w:lang w:val="en-US" w:eastAsia="zh-CN"/>
          <w14:textFill>
            <w14:solidFill>
              <w14:schemeClr w14:val="tx1"/>
            </w14:solidFill>
          </w14:textFill>
        </w:rPr>
        <w:t>434902.26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，机关运行经费主要用于开支办公费</w:t>
      </w:r>
      <w:r>
        <w:rPr>
          <w:rFonts w:hint="eastAsia" w:ascii="仿宋_GB2312" w:eastAsia="仿宋_GB2312"/>
          <w:color w:val="000000" w:themeColor="text1"/>
          <w:sz w:val="30"/>
          <w:szCs w:val="30"/>
          <w:lang w:eastAsia="zh-CN"/>
          <w14:textFill>
            <w14:solidFill>
              <w14:schemeClr w14:val="tx1"/>
            </w14:solidFill>
          </w14:textFill>
        </w:rPr>
        <w:t>、水电费</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邮电费、取暖费、差旅费、培训费、劳务费、</w:t>
      </w:r>
      <w:r>
        <w:rPr>
          <w:rFonts w:hint="eastAsia" w:ascii="仿宋_GB2312" w:eastAsia="仿宋_GB2312"/>
          <w:color w:val="000000" w:themeColor="text1"/>
          <w:sz w:val="30"/>
          <w:szCs w:val="30"/>
          <w14:textFill>
            <w14:solidFill>
              <w14:schemeClr w14:val="tx1"/>
            </w14:solidFill>
          </w14:textFill>
        </w:rPr>
        <w:t>信息网络购置更新费等。机关运行经费较201</w:t>
      </w: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44526.45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9.3</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2019年人员减少。</w:t>
      </w:r>
    </w:p>
    <w:p>
      <w:pPr>
        <w:ind w:firstLine="602" w:firstLineChars="200"/>
        <w:rPr>
          <w:rFonts w:hint="default" w:ascii="仿宋_GB2312" w:eastAsia="仿宋_GB2312"/>
          <w:color w:val="000000" w:themeColor="text1"/>
          <w:sz w:val="30"/>
          <w:szCs w:val="30"/>
          <w:lang w:val="en-US" w:eastAsia="zh-CN"/>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 国有资产占用情况说明。</w:t>
      </w:r>
      <w:r>
        <w:rPr>
          <w:rFonts w:hint="eastAsia" w:ascii="仿宋_GB2312" w:eastAsia="仿宋_GB2312"/>
          <w:color w:val="000000" w:themeColor="text1"/>
          <w:sz w:val="30"/>
          <w:szCs w:val="30"/>
          <w14:textFill>
            <w14:solidFill>
              <w14:schemeClr w14:val="tx1"/>
            </w14:solidFill>
          </w14:textFill>
        </w:rPr>
        <w:t>截至</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12月31日，本部门共有车辆</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辆，其中：领导干部用车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辆、一般公务用车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辆、一般执法执勤用车</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辆、特种专业技术用车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辆、其他用车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 单价50</w:t>
      </w:r>
      <w:r>
        <w:rPr>
          <w:rFonts w:hint="eastAsia" w:ascii="仿宋_GB2312" w:eastAsia="仿宋_GB2312"/>
          <w:color w:val="000000" w:themeColor="text1"/>
          <w:sz w:val="30"/>
          <w:szCs w:val="30"/>
          <w:lang w:eastAsia="zh-CN"/>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以上通用设备</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台（套），单价100</w:t>
      </w:r>
      <w:r>
        <w:rPr>
          <w:rFonts w:hint="eastAsia" w:ascii="仿宋_GB2312" w:eastAsia="仿宋_GB2312"/>
          <w:color w:val="000000" w:themeColor="text1"/>
          <w:sz w:val="30"/>
          <w:szCs w:val="30"/>
          <w:lang w:eastAsia="zh-CN"/>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以上专用设备</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台（套）。</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 xml:space="preserve"> </w:t>
      </w:r>
      <w:r>
        <w:rPr>
          <w:rFonts w:hint="eastAsia" w:ascii="楷体_GB2312" w:eastAsia="楷体_GB2312"/>
          <w:b/>
          <w:color w:val="000000" w:themeColor="text1"/>
          <w:sz w:val="30"/>
          <w:szCs w:val="30"/>
          <w14:textFill>
            <w14:solidFill>
              <w14:schemeClr w14:val="tx1"/>
            </w14:solidFill>
          </w14:textFill>
        </w:rPr>
        <w:t>（三） 政府采购支出情况说明。</w:t>
      </w: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年本部门政府采购支出总额</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，其中：政府采购货物支出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、政府采购工程支出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、政府采购服务支出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黑体" w:hAnsi="黑体" w:eastAsia="黑体"/>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（四）预算绩效管理情况说明</w:t>
      </w:r>
      <w:r>
        <w:rPr>
          <w:rFonts w:hint="eastAsia" w:ascii="仿宋_GB2312" w:hAnsi="黑体" w:eastAsia="仿宋_GB2312"/>
          <w:color w:val="000000" w:themeColor="text1"/>
          <w:sz w:val="30"/>
          <w:szCs w:val="30"/>
          <w14:textFill>
            <w14:solidFill>
              <w14:schemeClr w14:val="tx1"/>
            </w14:solidFill>
          </w14:textFill>
        </w:rPr>
        <w:t>。</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年我单位未组织第三方组织绩效评价</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六、专业名词解释。</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（一）财政拨款收入：</w:t>
      </w:r>
      <w:r>
        <w:rPr>
          <w:rFonts w:hint="eastAsia" w:ascii="仿宋_GB2312" w:eastAsia="仿宋_GB2312"/>
          <w:color w:val="000000" w:themeColor="text1"/>
          <w:sz w:val="30"/>
          <w:szCs w:val="30"/>
          <w14:textFill>
            <w14:solidFill>
              <w14:schemeClr w14:val="tx1"/>
            </w14:solidFill>
          </w14:textFill>
        </w:rPr>
        <w:t>指本年度从本级财政部门取得的财政拨款，包括一般公共预算财政拨款和政府性基金预算财政拨款。</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（二）事业收入：</w:t>
      </w:r>
      <w:r>
        <w:rPr>
          <w:rFonts w:hint="eastAsia" w:ascii="仿宋_GB2312" w:eastAsia="仿宋_GB2312"/>
          <w:color w:val="000000" w:themeColor="text1"/>
          <w:sz w:val="30"/>
          <w:szCs w:val="30"/>
          <w14:textFill>
            <w14:solidFill>
              <w14:schemeClr w14:val="tx1"/>
            </w14:solidFill>
          </w14:textFill>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（三）经营收入：</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指事业单位在专业业务活动及其辅助活动之外开展非独立核算经营活动取得的收入。</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（四）其他收入：</w:t>
      </w:r>
      <w:r>
        <w:rPr>
          <w:rFonts w:hint="eastAsia" w:ascii="仿宋_GB2312" w:eastAsia="仿宋_GB2312"/>
          <w:color w:val="000000" w:themeColor="text1"/>
          <w:sz w:val="30"/>
          <w:szCs w:val="30"/>
          <w14:textFill>
            <w14:solidFill>
              <w14:schemeClr w14:val="tx1"/>
            </w14:solidFill>
          </w14:textFill>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（五）用事业基金弥补收支差额：</w:t>
      </w:r>
      <w:r>
        <w:rPr>
          <w:rFonts w:hint="eastAsia" w:ascii="仿宋_GB2312" w:eastAsia="仿宋_GB2312"/>
          <w:color w:val="000000" w:themeColor="text1"/>
          <w:sz w:val="30"/>
          <w:szCs w:val="30"/>
          <w14:textFill>
            <w14:solidFill>
              <w14:schemeClr w14:val="tx1"/>
            </w14:solidFill>
          </w14:textFill>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（六）年初结转和结余：</w:t>
      </w:r>
      <w:r>
        <w:rPr>
          <w:rFonts w:hint="eastAsia" w:ascii="仿宋_GB2312" w:eastAsia="仿宋_GB2312"/>
          <w:color w:val="000000" w:themeColor="text1"/>
          <w:sz w:val="30"/>
          <w:szCs w:val="30"/>
          <w14:textFill>
            <w14:solidFill>
              <w14:schemeClr w14:val="tx1"/>
            </w14:solidFill>
          </w14:textFill>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（七）结余分配：</w:t>
      </w:r>
      <w:r>
        <w:rPr>
          <w:rFonts w:hint="eastAsia" w:ascii="仿宋_GB2312" w:eastAsia="仿宋_GB2312"/>
          <w:color w:val="000000" w:themeColor="text1"/>
          <w:sz w:val="30"/>
          <w:szCs w:val="30"/>
          <w14:textFill>
            <w14:solidFill>
              <w14:schemeClr w14:val="tx1"/>
            </w14:solidFill>
          </w14:textFill>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（八）年末结转和结余：</w:t>
      </w:r>
      <w:r>
        <w:rPr>
          <w:rFonts w:hint="eastAsia" w:ascii="仿宋_GB2312" w:eastAsia="仿宋_GB2312"/>
          <w:color w:val="000000" w:themeColor="text1"/>
          <w:sz w:val="30"/>
          <w:szCs w:val="30"/>
          <w14:textFill>
            <w14:solidFill>
              <w14:schemeClr w14:val="tx1"/>
            </w14:solidFill>
          </w14:textFill>
        </w:rPr>
        <w:t>指单位结转下年的基本支出结转、项目支出结转和结余、经营结余。不包括事业单位净资产项下的事业基金和专用基金。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（九）基本支出：</w:t>
      </w:r>
      <w:r>
        <w:rPr>
          <w:rFonts w:hint="eastAsia" w:ascii="仿宋_GB2312" w:eastAsia="仿宋_GB2312"/>
          <w:color w:val="000000" w:themeColor="text1"/>
          <w:sz w:val="30"/>
          <w:szCs w:val="30"/>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（十）项目支出：</w:t>
      </w:r>
      <w:r>
        <w:rPr>
          <w:rFonts w:hint="eastAsia" w:ascii="仿宋_GB2312" w:eastAsia="仿宋_GB2312"/>
          <w:color w:val="000000" w:themeColor="text1"/>
          <w:sz w:val="30"/>
          <w:szCs w:val="30"/>
          <w14:textFill>
            <w14:solidFill>
              <w14:schemeClr w14:val="tx1"/>
            </w14:solidFill>
          </w14:textFill>
        </w:rPr>
        <w:t>指在基本支出之外为完成特定行政任务和事业发展目标所发生的支出。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（十一）经营支出：</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（十二）“三公”经费：</w:t>
      </w:r>
      <w:r>
        <w:rPr>
          <w:rFonts w:hint="eastAsia" w:ascii="仿宋_GB2312" w:eastAsia="仿宋_GB2312"/>
          <w:color w:val="000000" w:themeColor="text1"/>
          <w:sz w:val="30"/>
          <w:szCs w:val="30"/>
          <w14:textFill>
            <w14:solidFill>
              <w14:schemeClr w14:val="tx1"/>
            </w14:solidFill>
          </w14:textFill>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（十三）机关运行经费：</w:t>
      </w:r>
      <w:r>
        <w:rPr>
          <w:rFonts w:hint="eastAsia" w:ascii="仿宋_GB2312" w:eastAsia="仿宋_GB2312"/>
          <w:color w:val="000000" w:themeColor="text1"/>
          <w:sz w:val="30"/>
          <w:szCs w:val="30"/>
          <w14:textFill>
            <w14:solidFill>
              <w14:schemeClr w14:val="tx1"/>
            </w14:solidFill>
          </w14:textFill>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（十四）工资福利支出（支出经济分类科目类级）：</w:t>
      </w:r>
      <w:r>
        <w:rPr>
          <w:rFonts w:hint="eastAsia" w:ascii="仿宋_GB2312" w:eastAsia="仿宋_GB2312"/>
          <w:color w:val="000000" w:themeColor="text1"/>
          <w:sz w:val="30"/>
          <w:szCs w:val="30"/>
          <w14:textFill>
            <w14:solidFill>
              <w14:schemeClr w14:val="tx1"/>
            </w14:solidFill>
          </w14:textFill>
        </w:rPr>
        <w:t>反映单位开支的在职职工和编制外长期聘用人员的各类劳动报酬，以及为上述人员缴纳的各项社会保险费等。</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（十五）商品和服务支出（支出经济分类科目类级）：</w:t>
      </w:r>
      <w:r>
        <w:rPr>
          <w:rFonts w:hint="eastAsia" w:ascii="仿宋_GB2312" w:eastAsia="仿宋_GB2312"/>
          <w:color w:val="000000" w:themeColor="text1"/>
          <w:sz w:val="30"/>
          <w:szCs w:val="30"/>
          <w14:textFill>
            <w14:solidFill>
              <w14:schemeClr w14:val="tx1"/>
            </w14:solidFill>
          </w14:textFill>
        </w:rPr>
        <w:t>反映单位购买商品和服务的支出（不包括用于购置固定资产的支出、战略性和应急储备支出）。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（十六）对个人和家庭的补助（支出经济分类科目类级）：</w:t>
      </w:r>
      <w:r>
        <w:rPr>
          <w:rFonts w:hint="eastAsia" w:ascii="仿宋_GB2312" w:eastAsia="仿宋_GB2312"/>
          <w:color w:val="000000" w:themeColor="text1"/>
          <w:sz w:val="30"/>
          <w:szCs w:val="30"/>
          <w14:textFill>
            <w14:solidFill>
              <w14:schemeClr w14:val="tx1"/>
            </w14:solidFill>
          </w14:textFill>
        </w:rPr>
        <w:t>反映用于对个人和家庭的补助支出。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（十七）其他资本性支出（支出经济分类科目类级）：</w:t>
      </w:r>
      <w:r>
        <w:rPr>
          <w:rFonts w:hint="eastAsia" w:ascii="仿宋_GB2312" w:eastAsia="仿宋_GB2312"/>
          <w:color w:val="000000" w:themeColor="text1"/>
          <w:sz w:val="30"/>
          <w:szCs w:val="30"/>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注：</w:t>
      </w:r>
      <w:r>
        <w:rPr>
          <w:rFonts w:hint="eastAsia" w:ascii="仿宋_GB2312" w:eastAsia="仿宋_GB2312"/>
          <w:color w:val="000000" w:themeColor="text1"/>
          <w:sz w:val="30"/>
          <w:szCs w:val="30"/>
          <w14:textFill>
            <w14:solidFill>
              <w14:schemeClr w14:val="tx1"/>
            </w14:solidFill>
          </w14:textFill>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color w:val="000000" w:themeColor="text1"/>
          <w:sz w:val="30"/>
          <w:szCs w:val="30"/>
          <w14:textFill>
            <w14:solidFill>
              <w14:schemeClr w14:val="tx1"/>
            </w14:solidFill>
          </w14:textFill>
        </w:rPr>
      </w:pPr>
    </w:p>
    <w:p>
      <w:pPr>
        <w:ind w:firstLine="600" w:firstLineChars="200"/>
        <w:rPr>
          <w:rFonts w:ascii="仿宋_GB2312" w:eastAsia="仿宋_GB2312"/>
          <w:color w:val="000000" w:themeColor="text1"/>
          <w:sz w:val="30"/>
          <w:szCs w:val="30"/>
          <w14:textFill>
            <w14:solidFill>
              <w14:schemeClr w14:val="tx1"/>
            </w14:solidFill>
          </w14:textFill>
        </w:rPr>
      </w:pPr>
    </w:p>
    <w:p>
      <w:pPr>
        <w:jc w:val="righ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2020年10月17日</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2B237A8"/>
    <w:rsid w:val="04B27EC7"/>
    <w:rsid w:val="0D560438"/>
    <w:rsid w:val="13836B25"/>
    <w:rsid w:val="14A629C9"/>
    <w:rsid w:val="17542C27"/>
    <w:rsid w:val="18F1352C"/>
    <w:rsid w:val="195E20F9"/>
    <w:rsid w:val="1B943FD8"/>
    <w:rsid w:val="1DD64839"/>
    <w:rsid w:val="2058605C"/>
    <w:rsid w:val="2EE67926"/>
    <w:rsid w:val="2F557316"/>
    <w:rsid w:val="35130FCB"/>
    <w:rsid w:val="3FC67B95"/>
    <w:rsid w:val="48157D19"/>
    <w:rsid w:val="582679AF"/>
    <w:rsid w:val="598E5B2F"/>
    <w:rsid w:val="5E8C02F1"/>
    <w:rsid w:val="5F2727A8"/>
    <w:rsid w:val="6C1122C1"/>
    <w:rsid w:val="6D75333B"/>
    <w:rsid w:val="6E3618C9"/>
    <w:rsid w:val="7A0344C4"/>
    <w:rsid w:val="7A0958A2"/>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7</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2020-10-19T12:30:44Z</cp:lastPrinted>
  <dcterms:modified xsi:type="dcterms:W3CDTF">2020-10-19T13:31:02Z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