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bookmarkStart w:id="0" w:name="_GoBack"/>
      <w:r>
        <w:rPr>
          <w:rFonts w:hint="eastAsia" w:ascii="方正小标宋简体" w:eastAsia="方正小标宋简体"/>
          <w:sz w:val="36"/>
          <w:szCs w:val="36"/>
          <w:lang w:eastAsia="zh-CN"/>
        </w:rPr>
        <w:t>积石山县民政局</w:t>
      </w:r>
      <w:r>
        <w:rPr>
          <w:rFonts w:hint="eastAsia" w:ascii="方正小标宋简体" w:eastAsia="方正小标宋简体"/>
          <w:sz w:val="36"/>
          <w:szCs w:val="36"/>
        </w:rPr>
        <w:t>单位</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bookmarkEnd w:id="0"/>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560" w:lineRule="exact"/>
        <w:ind w:firstLine="1280" w:firstLineChars="4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val="0"/>
          <w:bCs/>
          <w:sz w:val="32"/>
          <w:szCs w:val="32"/>
          <w:lang w:val="en-US" w:eastAsia="zh-CN"/>
        </w:rPr>
        <w:t>积石山县民政局职责：1、负责贯彻落实各项法律法规和方针政策；2、负责全县社会团体的登记管理和年度检查工作；3、负责全县民办非企业单位审批登记管理工作；4、负责城乡居民最低生活保障制度、农村五保供养、孤儿救助制度的实施和监督管理工作；5、负责基层政权建设工作；6、负责拟定全县社会福利事业发展规划；7、负责城乡困难居民临时救助工作；8、负责福利彩票发行监督管理工作；9、负责拟定全县行政区划总体规划；10、负责地名命名、更名的审核报批；11、负责县内行政区域界线的勘定和管理；12、负责指导全县婚姻登记管理工作；13、负责全县收养登记管理工作；14、负责全县流浪乞讨人员的收容遣送、流浪乞讨儿童的救助保护工作；15、负责全县殡葬管理工作，推行殡葬改革；16、负责管理和使用省、州及县拨民政事业经费；17、负责全县居民家庭经济状况核对指导中心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rPr>
          <w:rFonts w:ascii="仿宋_GB2312" w:eastAsia="仿宋_GB2312"/>
          <w:sz w:val="30"/>
          <w:szCs w:val="30"/>
        </w:rPr>
      </w:pPr>
      <w:r>
        <w:rPr>
          <w:rFonts w:hint="eastAsia" w:ascii="仿宋_GB2312" w:hAnsi="仿宋_GB2312" w:eastAsia="仿宋_GB2312" w:cs="仿宋_GB2312"/>
          <w:b w:val="0"/>
          <w:bCs/>
          <w:sz w:val="32"/>
          <w:szCs w:val="32"/>
          <w:lang w:val="en-US" w:eastAsia="zh-CN"/>
        </w:rPr>
        <w:t>积石山县民政局内设办公室、民政股、城乡低保股、福慈股、政务服务股5个股室，下设积石山县综合福利院、积石山县社会福利院、积石山县救助站三个部门</w:t>
      </w:r>
      <w:r>
        <w:rPr>
          <w:rFonts w:hint="eastAsia" w:ascii="仿宋_GB2312" w:eastAsia="仿宋_GB2312"/>
          <w:sz w:val="32"/>
          <w:lang w:eastAsia="zh-CN"/>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FangSong_GB2312" w:eastAsia="Times New Roman"/>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FangSong_GB2312" w:eastAsia="Times New Roman"/>
          <w:sz w:val="30"/>
          <w:szCs w:val="30"/>
        </w:rPr>
        <w:t>205,560,923.99</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FangSong_GB2312" w:eastAsia="Times New Roman"/>
          <w:sz w:val="30"/>
          <w:szCs w:val="30"/>
        </w:rPr>
        <w:t>205,560,923.99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年决算数相比，239,890,499.92收入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34329575.93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14.3</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34329575.93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14.3</w:t>
      </w:r>
      <w:r>
        <w:rPr>
          <w:rFonts w:hint="eastAsia" w:ascii="仿宋_GB2312" w:eastAsia="仿宋_GB2312"/>
          <w:sz w:val="30"/>
          <w:szCs w:val="30"/>
        </w:rPr>
        <w:t>%，主要原因是</w:t>
      </w:r>
      <w:r>
        <w:rPr>
          <w:rFonts w:hint="eastAsia" w:ascii="仿宋_GB2312" w:eastAsia="仿宋_GB2312"/>
          <w:sz w:val="30"/>
          <w:szCs w:val="30"/>
          <w:lang w:eastAsia="zh-CN"/>
        </w:rPr>
        <w:t>各项社会救助对象精准认定，按照减退机制核出部分收入达到脱贫人员，故收入支出减少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FangSong_GB2312" w:eastAsia="Times New Roman"/>
          <w:sz w:val="30"/>
          <w:szCs w:val="30"/>
        </w:rPr>
        <w:t>205,560,923.99</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FangSong_GB2312" w:eastAsia="Times New Roman"/>
          <w:sz w:val="30"/>
          <w:szCs w:val="30"/>
        </w:rPr>
        <w:t>205,560,923.99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spacing w:line="360" w:lineRule="auto"/>
        <w:ind w:firstLine="600" w:firstLineChars="200"/>
        <w:rPr>
          <w:rFonts w:ascii="FangSong_GB2312" w:eastAsia="Times New Roman"/>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FangSong_GB2312" w:eastAsia="Times New Roman"/>
          <w:sz w:val="30"/>
          <w:szCs w:val="30"/>
        </w:rPr>
        <w:t>205,560,923.99</w:t>
      </w:r>
      <w:r>
        <w:rPr>
          <w:rFonts w:hint="eastAsia" w:ascii="仿宋_GB2312" w:eastAsia="仿宋_GB2312"/>
          <w:sz w:val="30"/>
          <w:szCs w:val="30"/>
          <w:lang w:eastAsia="zh-CN"/>
        </w:rPr>
        <w:t>元</w:t>
      </w:r>
      <w:r>
        <w:rPr>
          <w:rFonts w:hint="eastAsia" w:ascii="仿宋_GB2312" w:eastAsia="仿宋_GB2312"/>
          <w:sz w:val="30"/>
          <w:szCs w:val="30"/>
        </w:rPr>
        <w:t>，其中：</w:t>
      </w:r>
      <w:r>
        <w:rPr>
          <w:rFonts w:ascii="FangSong_GB2312" w:eastAsia="Times New Roman"/>
          <w:sz w:val="30"/>
          <w:szCs w:val="30"/>
        </w:rPr>
        <w:t>基本支出</w:t>
      </w:r>
      <w:r>
        <w:rPr>
          <w:rFonts w:hint="eastAsia" w:ascii="FangSong_GB2312" w:eastAsia="Times New Roman"/>
          <w:sz w:val="30"/>
          <w:szCs w:val="30"/>
        </w:rPr>
        <w:t>1,455,117.00</w:t>
      </w:r>
      <w:r>
        <w:rPr>
          <w:rFonts w:ascii="FangSong_GB2312" w:eastAsia="Times New Roman"/>
          <w:sz w:val="30"/>
          <w:szCs w:val="30"/>
        </w:rPr>
        <w:t>元，占</w:t>
      </w:r>
      <w:r>
        <w:rPr>
          <w:rFonts w:hint="eastAsia" w:ascii="FangSong_GB2312" w:eastAsiaTheme="minorEastAsia"/>
          <w:sz w:val="30"/>
          <w:szCs w:val="30"/>
          <w:lang w:val="en-US" w:eastAsia="zh-CN"/>
        </w:rPr>
        <w:t>0.07</w:t>
      </w:r>
      <w:r>
        <w:rPr>
          <w:rFonts w:ascii="FangSong_GB2312" w:eastAsia="Times New Roman"/>
          <w:sz w:val="30"/>
          <w:szCs w:val="30"/>
        </w:rPr>
        <w:t>%</w:t>
      </w:r>
      <w:r>
        <w:rPr>
          <w:rFonts w:hint="eastAsia" w:asciiTheme="minorEastAsia" w:hAnsiTheme="minorEastAsia" w:eastAsiaTheme="minorEastAsia"/>
          <w:sz w:val="30"/>
          <w:szCs w:val="30"/>
        </w:rPr>
        <w:t>，项目支出</w:t>
      </w:r>
      <w:r>
        <w:rPr>
          <w:rFonts w:hint="eastAsia" w:asciiTheme="minorEastAsia" w:hAnsiTheme="minorEastAsia" w:eastAsiaTheme="minorEastAsia"/>
          <w:sz w:val="30"/>
          <w:szCs w:val="30"/>
          <w:lang w:val="en-US" w:eastAsia="zh-CN"/>
        </w:rPr>
        <w:t>204105806.99</w:t>
      </w:r>
      <w:r>
        <w:rPr>
          <w:rFonts w:asciiTheme="minorEastAsia" w:hAnsiTheme="minorEastAsia" w:eastAsiaTheme="minorEastAsia"/>
          <w:sz w:val="30"/>
          <w:szCs w:val="30"/>
        </w:rPr>
        <w:t>元</w:t>
      </w:r>
      <w:r>
        <w:rPr>
          <w:rFonts w:hint="eastAsia" w:asciiTheme="minorEastAsia" w:hAnsiTheme="minorEastAsia" w:eastAsiaTheme="minorEastAsia"/>
          <w:sz w:val="30"/>
          <w:szCs w:val="30"/>
        </w:rPr>
        <w:t>，</w:t>
      </w:r>
      <w:r>
        <w:rPr>
          <w:rFonts w:asciiTheme="minorEastAsia" w:hAnsiTheme="minorEastAsia" w:eastAsiaTheme="minorEastAsia"/>
          <w:sz w:val="30"/>
          <w:szCs w:val="30"/>
        </w:rPr>
        <w:t>占比</w:t>
      </w:r>
      <w:r>
        <w:rPr>
          <w:rFonts w:hint="eastAsia" w:asciiTheme="minorEastAsia" w:hAnsiTheme="minorEastAsia" w:eastAsiaTheme="minorEastAsia"/>
          <w:sz w:val="30"/>
          <w:szCs w:val="30"/>
        </w:rPr>
        <w:t>9</w:t>
      </w:r>
      <w:r>
        <w:rPr>
          <w:rFonts w:hint="eastAsia" w:asciiTheme="minorEastAsia" w:hAnsiTheme="minorEastAsia" w:eastAsiaTheme="minorEastAsia"/>
          <w:sz w:val="30"/>
          <w:szCs w:val="30"/>
          <w:lang w:val="en-US" w:eastAsia="zh-CN"/>
        </w:rPr>
        <w:t>9.3</w:t>
      </w:r>
      <w:r>
        <w:rPr>
          <w:rFonts w:hint="eastAsia" w:asciiTheme="minorEastAsia" w:hAnsiTheme="minorEastAsia" w:eastAsiaTheme="minorEastAsia"/>
          <w:sz w:val="30"/>
          <w:szCs w:val="30"/>
        </w:rPr>
        <w:t>%</w:t>
      </w:r>
      <w:r>
        <w:rPr>
          <w:rFonts w:ascii="FangSong_GB2312" w:eastAsia="Times New Roman"/>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度年末结转和结余911,317.25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3709090.79</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全年制定支出计划，按进度有计划支出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FangSong_GB2312" w:eastAsia="Times New Roman"/>
          <w:sz w:val="30"/>
          <w:szCs w:val="30"/>
        </w:rPr>
        <w:t>205,560,923.99</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34329575.93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14.3</w:t>
      </w:r>
      <w:r>
        <w:rPr>
          <w:rFonts w:hint="eastAsia" w:ascii="仿宋_GB2312" w:eastAsia="仿宋_GB2312"/>
          <w:sz w:val="30"/>
          <w:szCs w:val="30"/>
        </w:rPr>
        <w:t>%。主要原因是</w:t>
      </w:r>
      <w:r>
        <w:rPr>
          <w:rFonts w:hint="eastAsia" w:ascii="仿宋_GB2312" w:eastAsia="仿宋_GB2312"/>
          <w:sz w:val="30"/>
          <w:szCs w:val="30"/>
          <w:lang w:eastAsia="zh-CN"/>
        </w:rPr>
        <w:t>各项社会救助对象精准认定，按照减退机制核出部分收入达到脱贫人员，故收入支出减少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FangSong_GB2312" w:eastAsia="Times New Roman"/>
          <w:sz w:val="30"/>
          <w:szCs w:val="30"/>
        </w:rPr>
        <w:t>205,560,923.99</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34329575.93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14.3</w:t>
      </w:r>
      <w:r>
        <w:rPr>
          <w:rFonts w:hint="eastAsia" w:ascii="仿宋_GB2312" w:eastAsia="仿宋_GB2312"/>
          <w:sz w:val="30"/>
          <w:szCs w:val="30"/>
        </w:rPr>
        <w:t>%。主要原因是</w:t>
      </w:r>
      <w:r>
        <w:rPr>
          <w:rFonts w:hint="eastAsia" w:ascii="仿宋_GB2312" w:eastAsia="仿宋_GB2312"/>
          <w:sz w:val="30"/>
          <w:szCs w:val="30"/>
          <w:lang w:eastAsia="zh-CN"/>
        </w:rPr>
        <w:t>各项社会救助对象精准认定，按照减退机制核出部分收入达到脱贫人员，故收入支出减少</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FangSong_GB2312" w:eastAsia="Times New Roman"/>
          <w:sz w:val="30"/>
          <w:szCs w:val="30"/>
        </w:rPr>
        <w:t>1,455,117.00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0.07</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641697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增加救助项目支出增大</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FangSong_GB2312" w:eastAsia="宋体"/>
          <w:sz w:val="30"/>
          <w:szCs w:val="30"/>
          <w:lang w:val="en-US" w:eastAsia="zh-CN"/>
        </w:rPr>
        <w:t>8667643.34</w:t>
      </w:r>
      <w:r>
        <w:rPr>
          <w:rFonts w:hint="eastAsia" w:ascii="仿宋_GB2312" w:eastAsia="仿宋_GB2312"/>
          <w:sz w:val="30"/>
          <w:szCs w:val="30"/>
          <w:lang w:eastAsia="zh-CN"/>
        </w:rPr>
        <w:t>元</w:t>
      </w:r>
      <w:r>
        <w:rPr>
          <w:rFonts w:hint="eastAsia" w:ascii="仿宋_GB2312" w:eastAsia="仿宋_GB2312"/>
          <w:sz w:val="30"/>
          <w:szCs w:val="30"/>
        </w:rPr>
        <w:t>。其中：人员经费7,415,633.32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1257044.48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机构改革人员减少</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673820.05</w:t>
      </w:r>
      <w:r>
        <w:rPr>
          <w:rFonts w:hint="eastAsia" w:ascii="仿宋_GB2312" w:eastAsia="仿宋_GB2312"/>
          <w:sz w:val="30"/>
          <w:szCs w:val="30"/>
          <w:lang w:eastAsia="zh-CN"/>
        </w:rPr>
        <w:t>元</w:t>
      </w:r>
      <w:r>
        <w:rPr>
          <w:rFonts w:hint="eastAsia" w:ascii="仿宋_GB2312" w:eastAsia="仿宋_GB2312"/>
          <w:sz w:val="30"/>
          <w:szCs w:val="30"/>
        </w:rPr>
        <w:t>，机关运行经费主要用于开支</w:t>
      </w:r>
      <w:r>
        <w:rPr>
          <w:rFonts w:hint="eastAsia" w:ascii="仿宋_GB2312" w:eastAsia="仿宋_GB2312"/>
          <w:sz w:val="30"/>
          <w:szCs w:val="30"/>
          <w:lang w:eastAsia="zh-CN"/>
        </w:rPr>
        <w:t>办公费、印刷费、水电费、邮电费、差旅费</w:t>
      </w:r>
      <w:r>
        <w:rPr>
          <w:rFonts w:hint="eastAsia" w:ascii="仿宋_GB2312" w:eastAsia="仿宋_GB2312"/>
          <w:sz w:val="30"/>
          <w:szCs w:val="30"/>
        </w:rPr>
        <w:t>（具体开支情况由部门根据实际情况填列，可对支出金额较大的经济科目进行说明。如主要用于办公费、公务车运行维护费、信息网络购置更新费等，也可具体说明支出事由）。机关运行经费较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减少</w:t>
      </w:r>
      <w:r>
        <w:rPr>
          <w:rFonts w:hint="eastAsia" w:ascii="仿宋_GB2312" w:eastAsia="仿宋_GB2312"/>
          <w:sz w:val="30"/>
          <w:szCs w:val="30"/>
          <w:lang w:val="en-US" w:eastAsia="zh-CN"/>
        </w:rPr>
        <w:t>139600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17</w:t>
      </w:r>
      <w:r>
        <w:rPr>
          <w:rFonts w:hint="eastAsia" w:ascii="仿宋_GB2312" w:eastAsia="仿宋_GB2312"/>
          <w:sz w:val="30"/>
          <w:szCs w:val="30"/>
        </w:rPr>
        <w:t>%，主要原因是</w:t>
      </w:r>
      <w:r>
        <w:rPr>
          <w:rFonts w:hint="eastAsia" w:ascii="仿宋_GB2312" w:eastAsia="仿宋_GB2312"/>
          <w:sz w:val="30"/>
          <w:szCs w:val="30"/>
          <w:lang w:eastAsia="zh-CN"/>
        </w:rPr>
        <w:t>压缩开支，节能减排。</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default"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1200000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1200000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养老服务协理员。</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AC80393"/>
    <w:rsid w:val="2EE67926"/>
    <w:rsid w:val="35130FCB"/>
    <w:rsid w:val="36DE5132"/>
    <w:rsid w:val="3EDE7988"/>
    <w:rsid w:val="4EED464D"/>
    <w:rsid w:val="5BF36344"/>
    <w:rsid w:val="5F2727A8"/>
    <w:rsid w:val="62735113"/>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15</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2020-11-05T02:35:09Z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