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黑体"/>
          <w:b/>
          <w:bCs/>
          <w:sz w:val="44"/>
          <w:szCs w:val="44"/>
        </w:rPr>
      </w:pPr>
      <w:bookmarkStart w:id="0" w:name="部门决算分析报告撰写提纲（基层单位版）"/>
      <w:r>
        <w:rPr>
          <w:rFonts w:hint="eastAsia" w:ascii="方正小标宋简体" w:eastAsia="方正小标宋简体"/>
          <w:sz w:val="36"/>
          <w:szCs w:val="36"/>
        </w:rPr>
        <w:t>积石山县</w:t>
      </w:r>
      <w:r>
        <w:rPr>
          <w:rFonts w:hint="eastAsia" w:ascii="方正小标宋简体" w:eastAsia="方正小标宋简体"/>
          <w:sz w:val="36"/>
          <w:szCs w:val="36"/>
          <w:lang w:eastAsia="zh-CN"/>
        </w:rPr>
        <w:t>水务局</w:t>
      </w:r>
      <w:bookmarkStart w:id="1" w:name="_GoBack"/>
      <w:bookmarkEnd w:id="1"/>
      <w:r>
        <w:rPr>
          <w:rFonts w:hint="eastAsia" w:ascii="方正小标宋简体" w:eastAsia="方正小标宋简体"/>
          <w:sz w:val="36"/>
          <w:szCs w:val="36"/>
        </w:rPr>
        <w:t>2019年度部门决算情况说明</w:t>
      </w:r>
    </w:p>
    <w:bookmarkEnd w:id="0"/>
    <w:p>
      <w:pPr>
        <w:snapToGrid w:val="0"/>
        <w:ind w:firstLine="640" w:firstLineChars="200"/>
        <w:rPr>
          <w:rFonts w:ascii="仿宋" w:hAnsi="仿宋" w:eastAsia="仿宋" w:cs="仿宋"/>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olor w:val="000000"/>
          <w:spacing w:val="0"/>
          <w:sz w:val="32"/>
          <w:szCs w:val="32"/>
          <w:vertAlign w:val="baseline"/>
        </w:rPr>
        <w:t>一、部门基本情况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（一）职能职责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积石山县水务水电局负责全县生活、生产经营和生态环境用水的统筹兼顾和保障；负责水源保护工作、防止水旱灾害，承担县防汛指挥部日常工作；指导全县水利设施、水域及其岸线的管理和保护、主要河流的治理和开发；负责涉水违法事件的查处，协调各乡镇水事纠纷，指导水政执法和水行政执法；承担县委、县政府和州水务水电局交办的其他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321" w:firstLineChars="1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（二）机构设置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积石山县水务局</w:t>
      </w:r>
      <w:r>
        <w:rPr>
          <w:rFonts w:hint="eastAsia" w:ascii="仿宋" w:hAnsi="仿宋" w:eastAsia="仿宋" w:cs="仿宋"/>
          <w:i w:val="0"/>
          <w:color w:val="000000"/>
          <w:spacing w:val="0"/>
          <w:sz w:val="32"/>
          <w:szCs w:val="32"/>
          <w:vertAlign w:val="baseline"/>
        </w:rPr>
        <w:t>财政全额拨款</w:t>
      </w:r>
      <w:r>
        <w:rPr>
          <w:rFonts w:hint="eastAsia" w:ascii="仿宋" w:hAnsi="仿宋" w:eastAsia="仿宋" w:cs="仿宋"/>
          <w:i w:val="0"/>
          <w:color w:val="000000"/>
          <w:spacing w:val="0"/>
          <w:sz w:val="32"/>
          <w:szCs w:val="32"/>
          <w:vertAlign w:val="baseline"/>
          <w:lang w:eastAsia="zh-CN"/>
        </w:rPr>
        <w:t>事业</w:t>
      </w:r>
      <w:r>
        <w:rPr>
          <w:rFonts w:hint="eastAsia" w:ascii="仿宋" w:hAnsi="仿宋" w:eastAsia="仿宋" w:cs="仿宋"/>
          <w:i w:val="0"/>
          <w:color w:val="000000"/>
          <w:spacing w:val="0"/>
          <w:sz w:val="32"/>
          <w:szCs w:val="32"/>
          <w:vertAlign w:val="baseline"/>
        </w:rPr>
        <w:t>单位。</w:t>
      </w:r>
      <w:r>
        <w:rPr>
          <w:rFonts w:hint="eastAsia" w:ascii="仿宋" w:hAnsi="仿宋" w:eastAsia="仿宋" w:cs="仿宋"/>
          <w:i w:val="0"/>
          <w:color w:val="333333"/>
          <w:spacing w:val="0"/>
          <w:sz w:val="32"/>
          <w:szCs w:val="32"/>
          <w:vertAlign w:val="baseline"/>
        </w:rPr>
        <w:t>单位</w:t>
      </w:r>
      <w:r>
        <w:rPr>
          <w:rFonts w:hint="eastAsia" w:ascii="仿宋" w:hAnsi="仿宋" w:eastAsia="仿宋" w:cs="仿宋"/>
          <w:i w:val="0"/>
          <w:color w:val="333333"/>
          <w:spacing w:val="0"/>
          <w:sz w:val="32"/>
          <w:szCs w:val="32"/>
          <w:vertAlign w:val="baseline"/>
          <w:lang w:eastAsia="zh-CN"/>
        </w:rPr>
        <w:t>核定公务员及参公编制</w:t>
      </w:r>
      <w:r>
        <w:rPr>
          <w:rFonts w:hint="eastAsia" w:ascii="仿宋" w:hAnsi="仿宋" w:eastAsia="仿宋" w:cs="仿宋"/>
          <w:i w:val="0"/>
          <w:color w:val="333333"/>
          <w:spacing w:val="0"/>
          <w:sz w:val="32"/>
          <w:szCs w:val="32"/>
          <w:vertAlign w:val="baseline"/>
          <w:lang w:val="en-US" w:eastAsia="zh-CN"/>
        </w:rPr>
        <w:t>18</w:t>
      </w:r>
      <w:r>
        <w:rPr>
          <w:rFonts w:hint="eastAsia" w:ascii="仿宋" w:hAnsi="仿宋" w:eastAsia="仿宋" w:cs="仿宋"/>
          <w:i w:val="0"/>
          <w:color w:val="333333"/>
          <w:spacing w:val="0"/>
          <w:sz w:val="32"/>
          <w:szCs w:val="32"/>
          <w:vertAlign w:val="baseline"/>
          <w:lang w:eastAsia="zh-CN"/>
        </w:rPr>
        <w:t>名</w:t>
      </w:r>
      <w:r>
        <w:rPr>
          <w:rFonts w:hint="eastAsia" w:ascii="仿宋" w:hAnsi="仿宋" w:eastAsia="仿宋" w:cs="仿宋"/>
          <w:i w:val="0"/>
          <w:color w:val="333333"/>
          <w:spacing w:val="0"/>
          <w:sz w:val="32"/>
          <w:szCs w:val="32"/>
          <w:vertAlign w:val="baseline"/>
        </w:rPr>
        <w:t>，</w:t>
      </w:r>
      <w:r>
        <w:rPr>
          <w:rFonts w:hint="eastAsia" w:ascii="仿宋" w:hAnsi="仿宋" w:eastAsia="仿宋" w:cs="仿宋"/>
          <w:i w:val="0"/>
          <w:color w:val="333333"/>
          <w:spacing w:val="0"/>
          <w:sz w:val="32"/>
          <w:szCs w:val="32"/>
          <w:vertAlign w:val="baseline"/>
          <w:lang w:eastAsia="zh-CN"/>
        </w:rPr>
        <w:t>事业编制</w:t>
      </w:r>
      <w:r>
        <w:rPr>
          <w:rFonts w:hint="eastAsia" w:ascii="仿宋" w:hAnsi="仿宋" w:eastAsia="仿宋" w:cs="仿宋"/>
          <w:i w:val="0"/>
          <w:color w:val="333333"/>
          <w:spacing w:val="0"/>
          <w:sz w:val="32"/>
          <w:szCs w:val="32"/>
          <w:vertAlign w:val="baseline"/>
          <w:lang w:val="en-US" w:eastAsia="zh-CN"/>
        </w:rPr>
        <w:t>80名。实有公务员参公人员18人，事业59人，共计77人，</w:t>
      </w:r>
      <w:r>
        <w:rPr>
          <w:rFonts w:hint="eastAsia" w:ascii="仿宋" w:hAnsi="仿宋" w:eastAsia="仿宋" w:cs="仿宋"/>
          <w:i w:val="0"/>
          <w:color w:val="333333"/>
          <w:spacing w:val="0"/>
          <w:sz w:val="32"/>
          <w:szCs w:val="32"/>
          <w:vertAlign w:val="baseline"/>
          <w:lang w:eastAsia="zh-CN"/>
        </w:rPr>
        <w:t>下设</w:t>
      </w:r>
      <w:r>
        <w:rPr>
          <w:rFonts w:hint="eastAsia" w:ascii="仿宋" w:hAnsi="仿宋" w:eastAsia="仿宋" w:cs="仿宋"/>
          <w:i w:val="0"/>
          <w:color w:val="333333"/>
          <w:spacing w:val="0"/>
          <w:sz w:val="32"/>
          <w:szCs w:val="32"/>
          <w:vertAlign w:val="baseline"/>
          <w:lang w:val="en-US" w:eastAsia="zh-CN"/>
        </w:rPr>
        <w:t>8个股室</w:t>
      </w:r>
      <w:r>
        <w:rPr>
          <w:rFonts w:hint="eastAsia" w:ascii="仿宋" w:hAnsi="仿宋" w:eastAsia="仿宋" w:cs="仿宋"/>
          <w:i w:val="0"/>
          <w:color w:val="000000"/>
          <w:spacing w:val="0"/>
          <w:sz w:val="32"/>
          <w:szCs w:val="32"/>
          <w:vertAlign w:val="baseli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1" w:firstLineChars="100"/>
        <w:jc w:val="both"/>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olor w:val="000000"/>
          <w:spacing w:val="0"/>
          <w:sz w:val="32"/>
          <w:szCs w:val="32"/>
          <w:vertAlign w:val="baseline"/>
        </w:rPr>
        <w:t>二、2019年度部门决算报表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表一：收入支出决算总表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表二：收入决算表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表三：支出决算表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表四：财政拨款收入支出决算总表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0" w:firstLineChars="1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表五：一般公共预算财政拨款支出决算表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表六：一般公共预算财政拨款基本支出决算表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表七：政府性基金预算财政拨款收入支出决算表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表八：一般公共预算财政拨款“三公”经费支出决算表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1" w:firstLineChars="100"/>
        <w:jc w:val="both"/>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olor w:val="000000"/>
          <w:spacing w:val="0"/>
          <w:sz w:val="32"/>
          <w:szCs w:val="32"/>
          <w:vertAlign w:val="baseline"/>
        </w:rPr>
        <w:t>三、2019年度部门决算情况说明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321" w:firstLineChars="1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（一）收入支出决算总体情况说明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i w:val="0"/>
          <w:color w:val="000000"/>
          <w:spacing w:val="0"/>
          <w:sz w:val="32"/>
          <w:szCs w:val="32"/>
          <w:vertAlign w:val="baseline"/>
        </w:rPr>
        <w:t>2019年度收入总计171632927.86元，支出总计</w:t>
      </w:r>
      <w:r>
        <w:rPr>
          <w:rFonts w:hint="eastAsia" w:ascii="仿宋" w:hAnsi="仿宋" w:eastAsia="仿宋" w:cs="仿宋"/>
          <w:i w:val="0"/>
          <w:color w:val="000000"/>
          <w:spacing w:val="0"/>
          <w:sz w:val="32"/>
          <w:szCs w:val="32"/>
          <w:vertAlign w:val="baseline"/>
          <w:lang w:val="en-US" w:eastAsia="zh-CN"/>
        </w:rPr>
        <w:t>171709088.86</w:t>
      </w:r>
      <w:r>
        <w:rPr>
          <w:rFonts w:hint="eastAsia" w:ascii="仿宋" w:hAnsi="仿宋" w:eastAsia="仿宋" w:cs="仿宋"/>
          <w:i w:val="0"/>
          <w:color w:val="000000"/>
          <w:spacing w:val="0"/>
          <w:sz w:val="32"/>
          <w:szCs w:val="32"/>
          <w:vertAlign w:val="baseline"/>
        </w:rPr>
        <w:t>元。</w:t>
      </w:r>
      <w:r>
        <w:rPr>
          <w:rFonts w:hint="eastAsia" w:ascii="仿宋" w:hAnsi="仿宋" w:eastAsia="仿宋" w:cs="仿宋"/>
          <w:sz w:val="32"/>
          <w:szCs w:val="32"/>
        </w:rPr>
        <w:t>与2018年决算数相比，收入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116604187.3</w:t>
      </w:r>
      <w:r>
        <w:rPr>
          <w:rFonts w:hint="eastAsia" w:ascii="仿宋" w:hAnsi="仿宋" w:eastAsia="仿宋" w:cs="仿宋"/>
          <w:sz w:val="32"/>
          <w:szCs w:val="32"/>
        </w:rPr>
        <w:t>元，支出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92518561.83</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rPr>
        <w:t>主要原因是</w:t>
      </w:r>
      <w:r>
        <w:rPr>
          <w:rFonts w:hint="eastAsia" w:ascii="仿宋" w:hAnsi="仿宋" w:eastAsia="仿宋" w:cs="仿宋"/>
          <w:sz w:val="32"/>
          <w:szCs w:val="32"/>
          <w:lang w:eastAsia="zh-CN"/>
        </w:rPr>
        <w:t>人员经费增加，项目增加（主要增加的项目是东西协作人饮项目和农发行贷款九条河道治理项目）。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2019年度收入合计171632927.86</w:t>
      </w:r>
      <w:r>
        <w:rPr>
          <w:rFonts w:hint="eastAsia" w:ascii="仿宋" w:hAnsi="仿宋" w:eastAsia="仿宋" w:cs="仿宋"/>
          <w:i w:val="0"/>
          <w:color w:val="000000"/>
          <w:spacing w:val="0"/>
          <w:sz w:val="32"/>
          <w:szCs w:val="32"/>
          <w:vertAlign w:val="baseline"/>
          <w:lang w:eastAsia="zh-CN"/>
        </w:rPr>
        <w:t>元</w:t>
      </w:r>
      <w:r>
        <w:rPr>
          <w:rFonts w:hint="eastAsia" w:ascii="仿宋" w:hAnsi="仿宋" w:eastAsia="仿宋" w:cs="仿宋"/>
          <w:i w:val="0"/>
          <w:color w:val="000000"/>
          <w:spacing w:val="0"/>
          <w:sz w:val="32"/>
          <w:szCs w:val="32"/>
          <w:vertAlign w:val="baseline"/>
        </w:rPr>
        <w:t>，其中：财政拨款收入</w:t>
      </w:r>
      <w:r>
        <w:rPr>
          <w:rFonts w:hint="eastAsia" w:ascii="仿宋" w:hAnsi="仿宋" w:eastAsia="仿宋" w:cs="仿宋"/>
          <w:i w:val="0"/>
          <w:color w:val="000000"/>
          <w:spacing w:val="0"/>
          <w:sz w:val="32"/>
          <w:szCs w:val="32"/>
          <w:vertAlign w:val="baseline"/>
          <w:lang w:val="en-US" w:eastAsia="zh-CN"/>
        </w:rPr>
        <w:t>99579487.13</w:t>
      </w:r>
      <w:r>
        <w:rPr>
          <w:rFonts w:hint="eastAsia" w:ascii="仿宋" w:hAnsi="仿宋" w:eastAsia="仿宋" w:cs="仿宋"/>
          <w:i w:val="0"/>
          <w:color w:val="000000"/>
          <w:spacing w:val="0"/>
          <w:sz w:val="32"/>
          <w:szCs w:val="32"/>
          <w:vertAlign w:val="baseline"/>
        </w:rPr>
        <w:t>元，</w:t>
      </w:r>
      <w:r>
        <w:rPr>
          <w:rFonts w:hint="eastAsia" w:ascii="仿宋" w:hAnsi="仿宋" w:eastAsia="仿宋" w:cs="仿宋"/>
          <w:i w:val="0"/>
          <w:color w:val="000000"/>
          <w:spacing w:val="0"/>
          <w:sz w:val="32"/>
          <w:szCs w:val="32"/>
          <w:vertAlign w:val="baseline"/>
          <w:lang w:eastAsia="zh-CN"/>
        </w:rPr>
        <w:t>其他收入（农发行贷款和东西协作项目资金）</w:t>
      </w:r>
      <w:r>
        <w:rPr>
          <w:rFonts w:hint="eastAsia" w:ascii="仿宋" w:hAnsi="仿宋" w:eastAsia="仿宋" w:cs="仿宋"/>
          <w:i w:val="0"/>
          <w:color w:val="000000"/>
          <w:spacing w:val="0"/>
          <w:sz w:val="32"/>
          <w:szCs w:val="32"/>
          <w:vertAlign w:val="baseline"/>
        </w:rPr>
        <w:t>72053440.73</w:t>
      </w:r>
      <w:r>
        <w:rPr>
          <w:rFonts w:hint="eastAsia" w:ascii="仿宋" w:hAnsi="仿宋" w:eastAsia="仿宋" w:cs="仿宋"/>
          <w:i w:val="0"/>
          <w:color w:val="000000"/>
          <w:spacing w:val="0"/>
          <w:sz w:val="32"/>
          <w:szCs w:val="32"/>
          <w:vertAlign w:val="baseline"/>
          <w:lang w:eastAsia="zh-CN"/>
        </w:rPr>
        <w:t>元，财政拨款</w:t>
      </w:r>
      <w:r>
        <w:rPr>
          <w:rFonts w:hint="eastAsia" w:ascii="仿宋" w:hAnsi="仿宋" w:eastAsia="仿宋" w:cs="仿宋"/>
          <w:i w:val="0"/>
          <w:color w:val="000000"/>
          <w:spacing w:val="0"/>
          <w:sz w:val="32"/>
          <w:szCs w:val="32"/>
          <w:vertAlign w:val="baseline"/>
        </w:rPr>
        <w:t>占</w:t>
      </w:r>
      <w:r>
        <w:rPr>
          <w:rFonts w:hint="eastAsia" w:ascii="仿宋" w:hAnsi="仿宋" w:eastAsia="仿宋" w:cs="仿宋"/>
          <w:i w:val="0"/>
          <w:color w:val="000000"/>
          <w:spacing w:val="0"/>
          <w:sz w:val="32"/>
          <w:szCs w:val="32"/>
          <w:vertAlign w:val="baseline"/>
          <w:lang w:val="en-US" w:eastAsia="zh-CN"/>
        </w:rPr>
        <w:t>58</w:t>
      </w:r>
      <w:r>
        <w:rPr>
          <w:rFonts w:hint="eastAsia" w:ascii="仿宋" w:hAnsi="仿宋" w:eastAsia="仿宋" w:cs="仿宋"/>
          <w:i w:val="0"/>
          <w:color w:val="000000"/>
          <w:spacing w:val="0"/>
          <w:sz w:val="32"/>
          <w:szCs w:val="32"/>
          <w:vertAlign w:val="baseli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rPr>
        <w:t>2019年度支出合计</w:t>
      </w:r>
      <w:r>
        <w:rPr>
          <w:rFonts w:hint="eastAsia" w:ascii="仿宋" w:hAnsi="仿宋" w:eastAsia="仿宋" w:cs="仿宋"/>
          <w:i w:val="0"/>
          <w:color w:val="000000"/>
          <w:spacing w:val="0"/>
          <w:sz w:val="32"/>
          <w:szCs w:val="32"/>
          <w:vertAlign w:val="baseline"/>
          <w:lang w:val="en-US" w:eastAsia="zh-CN"/>
        </w:rPr>
        <w:t>171709088.86</w:t>
      </w:r>
      <w:r>
        <w:rPr>
          <w:rFonts w:hint="eastAsia" w:ascii="仿宋" w:hAnsi="仿宋" w:eastAsia="仿宋" w:cs="仿宋"/>
          <w:i w:val="0"/>
          <w:color w:val="000000"/>
          <w:spacing w:val="0"/>
          <w:sz w:val="32"/>
          <w:szCs w:val="32"/>
          <w:vertAlign w:val="baseline"/>
        </w:rPr>
        <w:t>元，其中：基本支出</w:t>
      </w:r>
      <w:r>
        <w:rPr>
          <w:rFonts w:hint="eastAsia" w:ascii="仿宋" w:hAnsi="仿宋" w:eastAsia="仿宋" w:cs="仿宋"/>
          <w:i w:val="0"/>
          <w:color w:val="000000"/>
          <w:spacing w:val="0"/>
          <w:sz w:val="32"/>
          <w:szCs w:val="32"/>
          <w:vertAlign w:val="baseline"/>
          <w:lang w:val="en-US" w:eastAsia="zh-CN"/>
        </w:rPr>
        <w:t>10268943.88</w:t>
      </w:r>
      <w:r>
        <w:rPr>
          <w:rFonts w:hint="eastAsia" w:ascii="仿宋" w:hAnsi="仿宋" w:eastAsia="仿宋" w:cs="仿宋"/>
          <w:i w:val="0"/>
          <w:color w:val="000000"/>
          <w:spacing w:val="0"/>
          <w:sz w:val="32"/>
          <w:szCs w:val="32"/>
          <w:vertAlign w:val="baseline"/>
        </w:rPr>
        <w:t>元，</w:t>
      </w:r>
      <w:r>
        <w:rPr>
          <w:rFonts w:hint="eastAsia" w:ascii="仿宋" w:hAnsi="仿宋" w:eastAsia="仿宋" w:cs="仿宋"/>
          <w:i w:val="0"/>
          <w:color w:val="000000"/>
          <w:spacing w:val="0"/>
          <w:sz w:val="32"/>
          <w:szCs w:val="32"/>
          <w:vertAlign w:val="baseline"/>
          <w:lang w:eastAsia="zh-CN"/>
        </w:rPr>
        <w:t>项目支出</w:t>
      </w:r>
      <w:r>
        <w:rPr>
          <w:rFonts w:hint="eastAsia" w:ascii="仿宋" w:hAnsi="仿宋" w:eastAsia="仿宋" w:cs="仿宋"/>
          <w:i w:val="0"/>
          <w:color w:val="000000"/>
          <w:spacing w:val="0"/>
          <w:sz w:val="32"/>
          <w:szCs w:val="32"/>
          <w:vertAlign w:val="baseline"/>
        </w:rPr>
        <w:t>161440144.98</w:t>
      </w:r>
      <w:r>
        <w:rPr>
          <w:rFonts w:hint="eastAsia" w:ascii="仿宋" w:hAnsi="仿宋" w:eastAsia="仿宋" w:cs="仿宋"/>
          <w:i w:val="0"/>
          <w:color w:val="000000"/>
          <w:spacing w:val="0"/>
          <w:sz w:val="32"/>
          <w:szCs w:val="32"/>
          <w:vertAlign w:val="baseline"/>
          <w:lang w:eastAsia="zh-CN"/>
        </w:rPr>
        <w:t>元，基本支出</w:t>
      </w:r>
      <w:r>
        <w:rPr>
          <w:rFonts w:hint="eastAsia" w:ascii="仿宋" w:hAnsi="仿宋" w:eastAsia="仿宋" w:cs="仿宋"/>
          <w:i w:val="0"/>
          <w:color w:val="000000"/>
          <w:spacing w:val="0"/>
          <w:sz w:val="32"/>
          <w:szCs w:val="32"/>
          <w:vertAlign w:val="baseline"/>
        </w:rPr>
        <w:t>占</w:t>
      </w:r>
      <w:r>
        <w:rPr>
          <w:rFonts w:hint="eastAsia" w:ascii="仿宋" w:hAnsi="仿宋" w:eastAsia="仿宋" w:cs="仿宋"/>
          <w:i w:val="0"/>
          <w:color w:val="000000"/>
          <w:spacing w:val="0"/>
          <w:sz w:val="32"/>
          <w:szCs w:val="32"/>
          <w:vertAlign w:val="baseline"/>
          <w:lang w:val="en-US" w:eastAsia="zh-CN"/>
        </w:rPr>
        <w:t>16</w:t>
      </w:r>
      <w:r>
        <w:rPr>
          <w:rFonts w:hint="eastAsia" w:ascii="仿宋" w:hAnsi="仿宋" w:eastAsia="仿宋" w:cs="仿宋"/>
          <w:i w:val="0"/>
          <w:color w:val="000000"/>
          <w:spacing w:val="0"/>
          <w:sz w:val="32"/>
          <w:szCs w:val="32"/>
          <w:vertAlign w:val="baseline"/>
        </w:rPr>
        <w:t>%</w:t>
      </w:r>
      <w:r>
        <w:rPr>
          <w:rFonts w:hint="eastAsia" w:ascii="仿宋" w:hAnsi="仿宋" w:eastAsia="仿宋" w:cs="仿宋"/>
          <w:i w:val="0"/>
          <w:color w:val="000000"/>
          <w:spacing w:val="0"/>
          <w:sz w:val="32"/>
          <w:szCs w:val="32"/>
          <w:vertAlign w:val="baseli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201</w:t>
      </w:r>
      <w:r>
        <w:rPr>
          <w:rFonts w:hint="eastAsia" w:ascii="仿宋" w:hAnsi="仿宋" w:eastAsia="仿宋" w:cs="仿宋"/>
          <w:i w:val="0"/>
          <w:color w:val="000000"/>
          <w:spacing w:val="0"/>
          <w:sz w:val="32"/>
          <w:szCs w:val="32"/>
          <w:vertAlign w:val="baseline"/>
          <w:lang w:val="en-US" w:eastAsia="zh-CN"/>
        </w:rPr>
        <w:t>9</w:t>
      </w:r>
      <w:r>
        <w:rPr>
          <w:rFonts w:hint="eastAsia" w:ascii="仿宋" w:hAnsi="仿宋" w:eastAsia="仿宋" w:cs="仿宋"/>
          <w:i w:val="0"/>
          <w:color w:val="000000"/>
          <w:spacing w:val="0"/>
          <w:sz w:val="32"/>
          <w:szCs w:val="32"/>
          <w:vertAlign w:val="baseline"/>
        </w:rPr>
        <w:t>年度年末结转和结余</w:t>
      </w:r>
      <w:r>
        <w:rPr>
          <w:rFonts w:hint="eastAsia" w:ascii="仿宋" w:hAnsi="仿宋" w:eastAsia="仿宋" w:cs="仿宋"/>
          <w:i w:val="0"/>
          <w:color w:val="000000"/>
          <w:spacing w:val="0"/>
          <w:sz w:val="32"/>
          <w:szCs w:val="32"/>
          <w:vertAlign w:val="baseline"/>
          <w:lang w:val="en-US" w:eastAsia="zh-CN"/>
        </w:rPr>
        <w:t>328496.69</w:t>
      </w:r>
      <w:r>
        <w:rPr>
          <w:rFonts w:hint="eastAsia" w:ascii="仿宋" w:hAnsi="仿宋" w:eastAsia="仿宋" w:cs="仿宋"/>
          <w:i w:val="0"/>
          <w:color w:val="000000"/>
          <w:spacing w:val="0"/>
          <w:sz w:val="32"/>
          <w:szCs w:val="32"/>
          <w:vertAlign w:val="baseline"/>
        </w:rPr>
        <w:t>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w:t>
      </w:r>
      <w:r>
        <w:rPr>
          <w:rFonts w:hint="eastAsia" w:ascii="仿宋" w:hAnsi="仿宋" w:eastAsia="仿宋" w:cs="仿宋"/>
          <w:b/>
          <w:i w:val="0"/>
          <w:color w:val="000000"/>
          <w:spacing w:val="0"/>
          <w:sz w:val="32"/>
          <w:szCs w:val="32"/>
          <w:vertAlign w:val="baseline"/>
          <w:lang w:eastAsia="zh-CN"/>
        </w:rPr>
        <w:t>二</w:t>
      </w:r>
      <w:r>
        <w:rPr>
          <w:rFonts w:hint="eastAsia" w:ascii="仿宋" w:hAnsi="仿宋" w:eastAsia="仿宋" w:cs="仿宋"/>
          <w:b/>
          <w:i w:val="0"/>
          <w:color w:val="000000"/>
          <w:spacing w:val="0"/>
          <w:sz w:val="32"/>
          <w:szCs w:val="32"/>
          <w:vertAlign w:val="baseline"/>
        </w:rPr>
        <w:t>）一般公共预算财政拨款基本支出决算情况说明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本部门2019年度一般公共财政拨款基本支出</w:t>
      </w:r>
      <w:r>
        <w:rPr>
          <w:rFonts w:hint="eastAsia" w:ascii="仿宋" w:hAnsi="仿宋" w:eastAsia="仿宋" w:cs="仿宋"/>
          <w:i w:val="0"/>
          <w:color w:val="000000"/>
          <w:spacing w:val="0"/>
          <w:sz w:val="32"/>
          <w:szCs w:val="32"/>
          <w:vertAlign w:val="baseline"/>
          <w:lang w:val="en-US" w:eastAsia="zh-CN"/>
        </w:rPr>
        <w:t>10268943.88</w:t>
      </w:r>
      <w:r>
        <w:rPr>
          <w:rFonts w:hint="eastAsia" w:ascii="仿宋" w:hAnsi="仿宋" w:eastAsia="仿宋" w:cs="仿宋"/>
          <w:i w:val="0"/>
          <w:color w:val="000000"/>
          <w:spacing w:val="0"/>
          <w:sz w:val="32"/>
          <w:szCs w:val="32"/>
          <w:vertAlign w:val="baseline"/>
        </w:rPr>
        <w:t>元。其中：人员经费</w:t>
      </w:r>
      <w:r>
        <w:rPr>
          <w:rFonts w:hint="eastAsia" w:ascii="仿宋" w:hAnsi="仿宋" w:eastAsia="仿宋" w:cs="仿宋"/>
          <w:i w:val="0"/>
          <w:color w:val="000000"/>
          <w:spacing w:val="0"/>
          <w:sz w:val="32"/>
          <w:szCs w:val="32"/>
          <w:vertAlign w:val="baseline"/>
          <w:lang w:val="en-US" w:eastAsia="zh-CN"/>
        </w:rPr>
        <w:t>7236080.26</w:t>
      </w:r>
      <w:r>
        <w:rPr>
          <w:rFonts w:hint="eastAsia" w:ascii="仿宋" w:hAnsi="仿宋" w:eastAsia="仿宋" w:cs="仿宋"/>
          <w:i w:val="0"/>
          <w:color w:val="000000"/>
          <w:spacing w:val="0"/>
          <w:sz w:val="32"/>
          <w:szCs w:val="32"/>
          <w:vertAlign w:val="baseline"/>
        </w:rPr>
        <w:t>元。人员经费用途主要包括基本工资、津贴补贴、奖金、社会保障缴费等。日常公用经费支出</w:t>
      </w:r>
      <w:r>
        <w:rPr>
          <w:rFonts w:hint="eastAsia" w:ascii="仿宋" w:hAnsi="仿宋" w:eastAsia="仿宋" w:cs="仿宋"/>
          <w:i w:val="0"/>
          <w:color w:val="000000"/>
          <w:spacing w:val="0"/>
          <w:sz w:val="32"/>
          <w:szCs w:val="32"/>
          <w:vertAlign w:val="baseline"/>
          <w:lang w:val="en-US" w:eastAsia="zh-CN"/>
        </w:rPr>
        <w:t>3032863.62元。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olor w:val="000000"/>
          <w:spacing w:val="0"/>
          <w:sz w:val="32"/>
          <w:szCs w:val="32"/>
          <w:vertAlign w:val="baseline"/>
        </w:rPr>
        <w:t>四、“三公”经费情况说明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2019年度本部门“三公”经费支出</w:t>
      </w:r>
      <w:r>
        <w:rPr>
          <w:rFonts w:hint="eastAsia" w:ascii="仿宋" w:hAnsi="仿宋" w:eastAsia="仿宋" w:cs="仿宋"/>
          <w:i w:val="0"/>
          <w:color w:val="000000"/>
          <w:spacing w:val="0"/>
          <w:sz w:val="32"/>
          <w:szCs w:val="32"/>
          <w:vertAlign w:val="baseline"/>
          <w:lang w:val="en-US" w:eastAsia="zh-CN"/>
        </w:rPr>
        <w:t>26536元，主要用于汛期车改办派遣防汛值班车辆燃油费</w:t>
      </w:r>
      <w:r>
        <w:rPr>
          <w:rFonts w:hint="eastAsia" w:ascii="仿宋" w:hAnsi="仿宋" w:eastAsia="仿宋" w:cs="仿宋"/>
          <w:i w:val="0"/>
          <w:color w:val="000000"/>
          <w:spacing w:val="0"/>
          <w:sz w:val="32"/>
          <w:szCs w:val="32"/>
          <w:vertAlign w:val="baseli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olor w:val="000000"/>
          <w:spacing w:val="0"/>
          <w:sz w:val="32"/>
          <w:szCs w:val="32"/>
          <w:vertAlign w:val="baseline"/>
        </w:rPr>
        <w:t>五、其他需要说明的事项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atLeast"/>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2019年本部门无其他说明事项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olor w:val="000000"/>
          <w:spacing w:val="0"/>
          <w:sz w:val="32"/>
          <w:szCs w:val="32"/>
          <w:vertAlign w:val="baseline"/>
        </w:rPr>
        <w:t>六、专业名词解释。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（一）财政拨款收入：指本年度从本级财政部门取得的财政拨款，包括一般公共预算财政拨款和政府性基金预算财政拨款。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（二）事业收入：指事业单位开展专业业务活动及其辅助活动取得的收入；事业单位收到的财政专户实际核拨的教育收费等资金在此反映。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（三）经营收入：指事业单位在专业业务活动及其辅助活动之外开展非独立核算经营活动取得的收入。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（四）其他收入：指单位取得的除“财政拨款收入”、“事业收入”、“经营收入”等以外的收入，包括未纳入财政预算或财政专户管理的投资收益、银行存款利息收入、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（五）用事业基金弥补收支差额：指事业单位在当年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（六）年初结转和结余：指单位上年结转本年使用的基本支出结转、项目支出结转和结余、经营结余。不包括事业单位净资产项下的事业基金和专用基金。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（八）年末结转和结余：指单位结转下年的基本支出结转、项目支出结转和结余、经营结余。不包括事业单位净资产项下的事业基金和专用基金。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（十）项目支出：指在基本支出之外为完成特定行政任务和事业发展目标所发生的支出。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（十一）经营支出：指事业单位在专业业务活动及其辅助活动之外开展非独立核算经营活动发生的支出。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（十二）“三公”经费：指用一般公共预算财政拨款安排的因公出国（境）费、公务用车购置及运行维护费、公务接待费。其中，因公出国（境）费反映单位公务出国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（十四）工资福利支出（支出经济分类科目类级）：反映单位开支的在职职工和编制外长期聘用人员的各类劳动报酬，以及为上述人员缴纳的各项社会保险费等。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（十五）商品和服务支出（支出经济分类科目类级）：反映单位购买商品和服务的支出（不包括用于购置固定资产的支出、战略性和应急储备支出）。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（十六）对个人和家庭的补助（支出经济分类科目类级）：反映用于对个人和家庭的补助支出。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210" w:leftChars="-100" w:right="-210" w:rightChars="-100" w:firstLine="42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注：以上为常见专业名词解释目录，仅供参考，部门应根据实际情况进行解释和增减。比如可将类级功能科目和经济科目细化解释到项级。</w:t>
      </w: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ind w:right="-210" w:rightChars="-100"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积石山水务局</w:t>
      </w:r>
    </w:p>
    <w:p>
      <w:pPr>
        <w:keepNext w:val="0"/>
        <w:keepLines w:val="0"/>
        <w:pageBreakBefore w:val="0"/>
        <w:kinsoku/>
        <w:wordWrap/>
        <w:overflowPunct/>
        <w:topLinePunct w:val="0"/>
        <w:autoSpaceDE/>
        <w:autoSpaceDN/>
        <w:bidi w:val="0"/>
        <w:adjustRightInd/>
        <w:snapToGrid/>
        <w:ind w:left="-210" w:leftChars="-100" w:right="-210" w:rightChars="-100"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2020年3月4日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77"/>
    <w:rsid w:val="00006573"/>
    <w:rsid w:val="00013DD5"/>
    <w:rsid w:val="00160D54"/>
    <w:rsid w:val="00162859"/>
    <w:rsid w:val="002474B2"/>
    <w:rsid w:val="00285944"/>
    <w:rsid w:val="002C7A51"/>
    <w:rsid w:val="003D006B"/>
    <w:rsid w:val="00412694"/>
    <w:rsid w:val="004576C5"/>
    <w:rsid w:val="00501A13"/>
    <w:rsid w:val="0057204F"/>
    <w:rsid w:val="00573875"/>
    <w:rsid w:val="007354C9"/>
    <w:rsid w:val="007812B2"/>
    <w:rsid w:val="007F321F"/>
    <w:rsid w:val="00891C71"/>
    <w:rsid w:val="009622D5"/>
    <w:rsid w:val="00977600"/>
    <w:rsid w:val="00A57995"/>
    <w:rsid w:val="00A64FB4"/>
    <w:rsid w:val="00A70268"/>
    <w:rsid w:val="00B373E2"/>
    <w:rsid w:val="00B758A5"/>
    <w:rsid w:val="00BA0F2B"/>
    <w:rsid w:val="00C968B3"/>
    <w:rsid w:val="00D340D5"/>
    <w:rsid w:val="00DA0277"/>
    <w:rsid w:val="00E14C38"/>
    <w:rsid w:val="00E577A9"/>
    <w:rsid w:val="00E731DC"/>
    <w:rsid w:val="00EE2797"/>
    <w:rsid w:val="00EF32B9"/>
    <w:rsid w:val="00FD2E20"/>
    <w:rsid w:val="0231198B"/>
    <w:rsid w:val="027F6574"/>
    <w:rsid w:val="060D4C32"/>
    <w:rsid w:val="0C6C7EC2"/>
    <w:rsid w:val="0DB40272"/>
    <w:rsid w:val="0F234BDE"/>
    <w:rsid w:val="199C2464"/>
    <w:rsid w:val="1D1D0612"/>
    <w:rsid w:val="1E554138"/>
    <w:rsid w:val="1FC1008E"/>
    <w:rsid w:val="285F3720"/>
    <w:rsid w:val="2C28651B"/>
    <w:rsid w:val="2C8777CA"/>
    <w:rsid w:val="316F3963"/>
    <w:rsid w:val="361F4E52"/>
    <w:rsid w:val="4DD75D11"/>
    <w:rsid w:val="601D62FF"/>
    <w:rsid w:val="61D81110"/>
    <w:rsid w:val="69F6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style>
  <w:style w:type="paragraph" w:styleId="3">
    <w:name w:val="Date"/>
    <w:basedOn w:val="1"/>
    <w:next w:val="1"/>
    <w:link w:val="14"/>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character" w:customStyle="1" w:styleId="12">
    <w:name w:val="页脚 Char"/>
    <w:basedOn w:val="9"/>
    <w:link w:val="5"/>
    <w:qFormat/>
    <w:uiPriority w:val="0"/>
    <w:rPr>
      <w:sz w:val="18"/>
      <w:szCs w:val="18"/>
    </w:rPr>
  </w:style>
  <w:style w:type="character" w:customStyle="1" w:styleId="13">
    <w:name w:val="日期 Char"/>
    <w:basedOn w:val="9"/>
    <w:qFormat/>
    <w:uiPriority w:val="0"/>
  </w:style>
  <w:style w:type="character" w:customStyle="1" w:styleId="14">
    <w:name w:val="日期 Char1"/>
    <w:basedOn w:val="9"/>
    <w:link w:val="3"/>
    <w:qFormat/>
    <w:uiPriority w:val="0"/>
  </w:style>
  <w:style w:type="character" w:customStyle="1" w:styleId="15">
    <w:name w:val="页眉 Char"/>
    <w:basedOn w:val="9"/>
    <w:link w:val="6"/>
    <w:qFormat/>
    <w:uiPriority w:val="0"/>
    <w:rPr>
      <w:sz w:val="18"/>
      <w:szCs w:val="18"/>
    </w:rPr>
  </w:style>
  <w:style w:type="character" w:customStyle="1" w:styleId="16">
    <w:name w:val="正文文本 Char1"/>
    <w:basedOn w:val="9"/>
    <w:link w:val="2"/>
    <w:qFormat/>
    <w:uiPriority w:val="0"/>
    <w:rPr>
      <w:rFonts w:hint="eastAsia" w:ascii="宋体" w:hAnsi="宋体" w:eastAsia="仿宋_GB2312" w:cs="Times New Roman"/>
      <w:spacing w:val="-2"/>
      <w:sz w:val="32"/>
      <w:szCs w:val="24"/>
    </w:rPr>
  </w:style>
  <w:style w:type="character" w:customStyle="1" w:styleId="17">
    <w:name w:val="正文文本 Char"/>
    <w:basedOn w:val="9"/>
    <w:qFormat/>
    <w:uiPriority w:val="0"/>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Words>
  <Characters>2369</Characters>
  <Lines>19</Lines>
  <Paragraphs>5</Paragraphs>
  <TotalTime>2</TotalTime>
  <ScaleCrop>false</ScaleCrop>
  <LinksUpToDate>false</LinksUpToDate>
  <CharactersWithSpaces>2779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冰山一角</cp:lastModifiedBy>
  <dcterms:modified xsi:type="dcterms:W3CDTF">2020-10-19T08:53:35Z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