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hint="eastAsia" w:asciiTheme="minorEastAsia" w:hAnsiTheme="minorEastAsia" w:eastAsiaTheme="minorEastAsia" w:cstheme="minorEastAsia"/>
          <w:color w:val="auto"/>
          <w:sz w:val="32"/>
          <w:szCs w:val="32"/>
        </w:rPr>
      </w:pPr>
      <w:bookmarkStart w:id="0" w:name="_GoBack"/>
      <w:r>
        <w:rPr>
          <w:rFonts w:hint="eastAsia" w:asciiTheme="minorEastAsia" w:hAnsiTheme="minorEastAsia" w:eastAsiaTheme="minorEastAsia" w:cstheme="minorEastAsia"/>
          <w:color w:val="auto"/>
          <w:sz w:val="32"/>
          <w:szCs w:val="32"/>
          <w:lang w:eastAsia="zh-CN"/>
        </w:rPr>
        <w:t>积石山县</w:t>
      </w:r>
      <w:r>
        <w:rPr>
          <w:rFonts w:hint="eastAsia" w:asciiTheme="minorEastAsia" w:hAnsiTheme="minorEastAsia" w:eastAsiaTheme="minorEastAsia" w:cstheme="minorEastAsia"/>
          <w:color w:val="auto"/>
          <w:sz w:val="32"/>
          <w:szCs w:val="32"/>
          <w:lang w:val="en-US" w:eastAsia="zh-CN"/>
        </w:rPr>
        <w:t>文体广电和旅游局2019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度部门决算情况说明</w:t>
      </w:r>
    </w:p>
    <w:bookmarkEnd w:id="0"/>
    <w:p>
      <w:pPr>
        <w:rPr>
          <w:rFonts w:hint="eastAsia" w:asciiTheme="minorEastAsia" w:hAnsiTheme="minorEastAsia" w:eastAsiaTheme="minorEastAsia" w:cstheme="minorEastAsia"/>
          <w:color w:val="auto"/>
          <w:sz w:val="32"/>
          <w:szCs w:val="32"/>
        </w:rPr>
      </w:pP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一、部门基本情况</w:t>
      </w:r>
    </w:p>
    <w:p>
      <w:pPr>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（一）职能职责</w:t>
      </w:r>
    </w:p>
    <w:p>
      <w:pPr>
        <w:ind w:firstLine="640" w:firstLineChars="200"/>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1、贯彻落实党的文化、体育、广电和旅游工作方针政策、法律法规，研究拟订全县文化、体育、广电和旅游政策措施</w:t>
      </w:r>
    </w:p>
    <w:p>
      <w:pPr>
        <w:ind w:firstLine="640" w:firstLineChars="200"/>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2、统筹规划全县文化事业、体育事业、文化产业和旅游发展研究拟订全县文化、体育、广电和旅游融合发展。</w:t>
      </w:r>
    </w:p>
    <w:p>
      <w:pPr>
        <w:ind w:firstLine="640" w:firstLineChars="200"/>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3、管理全县重大文体活动，统筹协调文化旅游博览活动和相关节会活动。</w:t>
      </w:r>
    </w:p>
    <w:p>
      <w:pPr>
        <w:ind w:firstLine="640"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kern w:val="0"/>
          <w:sz w:val="32"/>
          <w:szCs w:val="32"/>
          <w:lang w:val="en-US" w:eastAsia="zh-CN" w:bidi="ar"/>
        </w:rPr>
        <w:t>4、贯彻《全民健身条例》，执行全民健身计划，指导开展群众性体育活动；执行国家体育锻炼标准，组织开展全民体质监测；加强体育后备人才建设。</w:t>
      </w:r>
    </w:p>
    <w:p>
      <w:pPr>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（二）机构设置</w:t>
      </w:r>
    </w:p>
    <w:p>
      <w:pPr>
        <w:spacing w:line="640" w:lineRule="exact"/>
        <w:ind w:firstLine="645"/>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行政编制8人，事业编制65人，工勤编制2人。</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度部门决算报表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表一：收入支出决算总表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表二：收入决算表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表三：支出决算表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表四：财政拨款收入支出决算总表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表五：一般公共预算财政拨款支出决算表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表六：一般公共预算财政拨款基本支出决算表</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表七：一般公共预算财政拨款“三公”经费支出决算</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表八：表政府性基金预算财政拨款收入支出决算表</w:t>
      </w:r>
    </w:p>
    <w:p>
      <w:pPr>
        <w:ind w:firstLine="640" w:firstLineChars="200"/>
        <w:rPr>
          <w:rFonts w:hint="eastAsia" w:asciiTheme="minorEastAsia" w:hAnsiTheme="minorEastAsia" w:eastAsiaTheme="minorEastAsia" w:cstheme="minorEastAsia"/>
          <w:color w:val="auto"/>
          <w:sz w:val="32"/>
          <w:szCs w:val="32"/>
        </w:rPr>
      </w:pP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度部门决算情况说明</w:t>
      </w:r>
    </w:p>
    <w:p>
      <w:pPr>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（一）收入支出决算总体情况说明</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度收入总计11442840.08</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，支出总计</w:t>
      </w:r>
      <w:r>
        <w:rPr>
          <w:rFonts w:hint="eastAsia" w:asciiTheme="minorEastAsia" w:hAnsiTheme="minorEastAsia" w:eastAsiaTheme="minorEastAsia" w:cstheme="minorEastAsia"/>
          <w:color w:val="auto"/>
          <w:sz w:val="32"/>
          <w:szCs w:val="32"/>
          <w:lang w:val="en-US" w:eastAsia="zh-CN"/>
        </w:rPr>
        <w:t>9899233.97</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w:t>
      </w:r>
      <w:r>
        <w:rPr>
          <w:rFonts w:hint="eastAsia" w:asciiTheme="minorEastAsia" w:hAnsiTheme="minorEastAsia" w:eastAsiaTheme="minorEastAsia" w:cstheme="minorEastAsia"/>
          <w:color w:val="auto"/>
          <w:sz w:val="32"/>
          <w:szCs w:val="32"/>
          <w:lang w:val="en-US" w:eastAsia="zh-CN"/>
        </w:rPr>
        <w:t>19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度收入合计11442840.08，其中：财政拨款收入11442840.08</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，占</w:t>
      </w:r>
      <w:r>
        <w:rPr>
          <w:rFonts w:hint="eastAsia" w:asciiTheme="minorEastAsia" w:hAnsiTheme="minorEastAsia" w:eastAsiaTheme="minorEastAsia" w:cstheme="minorEastAsia"/>
          <w:color w:val="auto"/>
          <w:sz w:val="32"/>
          <w:szCs w:val="32"/>
          <w:lang w:val="en-US" w:eastAsia="zh-CN"/>
        </w:rPr>
        <w:t>100</w:t>
      </w:r>
      <w:r>
        <w:rPr>
          <w:rFonts w:hint="eastAsia" w:asciiTheme="minorEastAsia" w:hAnsiTheme="minorEastAsia" w:eastAsiaTheme="minorEastAsia" w:cstheme="minorEastAsia"/>
          <w:color w:val="auto"/>
          <w:sz w:val="32"/>
          <w:szCs w:val="32"/>
        </w:rPr>
        <w:t>%。</w:t>
      </w:r>
    </w:p>
    <w:p>
      <w:p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度支出合计</w:t>
      </w:r>
      <w:r>
        <w:rPr>
          <w:rFonts w:hint="eastAsia" w:asciiTheme="minorEastAsia" w:hAnsiTheme="minorEastAsia" w:eastAsiaTheme="minorEastAsia" w:cstheme="minorEastAsia"/>
          <w:color w:val="auto"/>
          <w:sz w:val="32"/>
          <w:szCs w:val="32"/>
          <w:lang w:val="en-US" w:eastAsia="zh-CN"/>
        </w:rPr>
        <w:t>9899233.97</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，其中：基本支出5405360.75</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，占</w:t>
      </w:r>
      <w:r>
        <w:rPr>
          <w:rFonts w:hint="eastAsia" w:asciiTheme="minorEastAsia" w:hAnsiTheme="minorEastAsia" w:eastAsiaTheme="minorEastAsia" w:cstheme="minorEastAsia"/>
          <w:color w:val="auto"/>
          <w:sz w:val="32"/>
          <w:szCs w:val="32"/>
          <w:lang w:val="en-US" w:eastAsia="zh-CN"/>
        </w:rPr>
        <w:t xml:space="preserve">54.6  </w:t>
      </w:r>
      <w:r>
        <w:rPr>
          <w:rFonts w:hint="eastAsia" w:asciiTheme="minorEastAsia" w:hAnsiTheme="minorEastAsia" w:eastAsiaTheme="minorEastAsia" w:cstheme="minorEastAsia"/>
          <w:color w:val="auto"/>
          <w:sz w:val="32"/>
          <w:szCs w:val="32"/>
        </w:rPr>
        <w:t>%； 项目支出4493873.22</w:t>
      </w:r>
      <w:r>
        <w:rPr>
          <w:rFonts w:hint="eastAsia" w:asciiTheme="minorEastAsia" w:hAnsiTheme="minorEastAsia" w:eastAsiaTheme="minorEastAsia" w:cstheme="minorEastAsia"/>
          <w:color w:val="auto"/>
          <w:sz w:val="32"/>
          <w:szCs w:val="32"/>
          <w:lang w:eastAsia="zh-CN"/>
        </w:rPr>
        <w:t>，占</w:t>
      </w:r>
      <w:r>
        <w:rPr>
          <w:rFonts w:hint="eastAsia" w:asciiTheme="minorEastAsia" w:hAnsiTheme="minorEastAsia" w:eastAsiaTheme="minorEastAsia" w:cstheme="minorEastAsia"/>
          <w:color w:val="auto"/>
          <w:sz w:val="32"/>
          <w:szCs w:val="32"/>
          <w:lang w:val="en-US" w:eastAsia="zh-CN"/>
        </w:rPr>
        <w:t xml:space="preserve"> 45.4 % 。</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2018年</w:t>
      </w:r>
      <w:r>
        <w:rPr>
          <w:rFonts w:hint="eastAsia" w:asciiTheme="minorEastAsia" w:hAnsiTheme="minorEastAsia" w:eastAsiaTheme="minorEastAsia" w:cstheme="minorEastAsia"/>
          <w:color w:val="auto"/>
          <w:sz w:val="32"/>
          <w:szCs w:val="32"/>
        </w:rPr>
        <w:t>度年末结转和结余2533111.85</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其中基本支出结转177647.85元，项目支出结转2355464元，</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本</w:t>
      </w:r>
      <w:r>
        <w:rPr>
          <w:rFonts w:hint="eastAsia" w:asciiTheme="minorEastAsia" w:hAnsiTheme="minorEastAsia" w:eastAsiaTheme="minorEastAsia" w:cstheme="minorEastAsia"/>
          <w:sz w:val="32"/>
          <w:szCs w:val="32"/>
          <w:lang w:val="en-US" w:eastAsia="zh-CN"/>
        </w:rPr>
        <w:t>年项目未完成</w:t>
      </w:r>
      <w:r>
        <w:rPr>
          <w:rFonts w:hint="eastAsia" w:asciiTheme="minorEastAsia" w:hAnsiTheme="minorEastAsia" w:eastAsiaTheme="minorEastAsia" w:cstheme="minorEastAsia"/>
          <w:color w:val="auto"/>
          <w:sz w:val="32"/>
          <w:szCs w:val="32"/>
        </w:rPr>
        <w:t>。</w:t>
      </w:r>
    </w:p>
    <w:p>
      <w:pPr>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（二）财政拨款收入支出决算总体情况说明</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度财政拨款收入11442840.08</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lang w:val="en-US" w:eastAsia="zh-CN"/>
        </w:rPr>
        <w:t>由于2019年机构改革，与体育局、旅游局、广电局合并无法与上年度相关数据对比</w:t>
      </w:r>
      <w:r>
        <w:rPr>
          <w:rFonts w:hint="eastAsia" w:asciiTheme="minorEastAsia" w:hAnsiTheme="minorEastAsia" w:eastAsiaTheme="minorEastAsia" w:cstheme="minorEastAsia"/>
          <w:color w:val="auto"/>
          <w:sz w:val="32"/>
          <w:szCs w:val="32"/>
        </w:rPr>
        <w:t>。</w:t>
      </w:r>
    </w:p>
    <w:p>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度财政拨款支出</w:t>
      </w:r>
      <w:r>
        <w:rPr>
          <w:rFonts w:hint="eastAsia" w:asciiTheme="minorEastAsia" w:hAnsiTheme="minorEastAsia" w:eastAsiaTheme="minorEastAsia" w:cstheme="minorEastAsia"/>
          <w:color w:val="auto"/>
          <w:sz w:val="32"/>
          <w:szCs w:val="32"/>
          <w:lang w:val="en-US" w:eastAsia="zh-CN"/>
        </w:rPr>
        <w:t>9899233.97</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由于2019年机构改革，与体育局、旅游局、广电局合并无法与上年度相关数据对比</w:t>
      </w:r>
      <w:r>
        <w:rPr>
          <w:rFonts w:hint="eastAsia" w:asciiTheme="minorEastAsia" w:hAnsiTheme="minorEastAsia" w:eastAsiaTheme="minorEastAsia" w:cstheme="minorEastAsia"/>
          <w:color w:val="auto"/>
          <w:sz w:val="32"/>
          <w:szCs w:val="32"/>
        </w:rPr>
        <w:t>。</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（三）一般公共预算财政拨款基本支出决算情况说明</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rPr>
        <w:t>本部门</w:t>
      </w:r>
      <w:r>
        <w:rPr>
          <w:rFonts w:hint="eastAsia" w:asciiTheme="minorEastAsia" w:hAnsiTheme="minorEastAsia" w:eastAsiaTheme="minorEastAsia" w:cstheme="minorEastAsia"/>
          <w:color w:val="auto"/>
          <w:sz w:val="32"/>
          <w:szCs w:val="32"/>
          <w:lang w:eastAsia="zh-CN"/>
        </w:rPr>
        <w:t>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color w:val="auto"/>
          <w:sz w:val="32"/>
          <w:szCs w:val="32"/>
        </w:rPr>
        <w:t>度一般公共财政拨款基本支出</w:t>
      </w:r>
      <w:r>
        <w:rPr>
          <w:rFonts w:hint="eastAsia" w:asciiTheme="minorEastAsia" w:hAnsiTheme="minorEastAsia" w:eastAsiaTheme="minorEastAsia" w:cstheme="minorEastAsia"/>
          <w:color w:val="auto"/>
          <w:sz w:val="32"/>
          <w:szCs w:val="32"/>
          <w:lang w:val="en-US" w:eastAsia="zh-CN"/>
        </w:rPr>
        <w:t>5371805.75</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color w:val="auto"/>
          <w:sz w:val="32"/>
          <w:szCs w:val="32"/>
        </w:rPr>
        <w:t>。其中：人员经费3720817.42</w:t>
      </w:r>
      <w:r>
        <w:rPr>
          <w:rFonts w:hint="eastAsia" w:asciiTheme="minorEastAsia" w:hAnsiTheme="minorEastAsia" w:eastAsiaTheme="minorEastAsia" w:cstheme="minorEastAsia"/>
          <w:color w:val="auto"/>
          <w:sz w:val="32"/>
          <w:szCs w:val="32"/>
          <w:lang w:eastAsia="zh-CN"/>
        </w:rPr>
        <w:t>元</w:t>
      </w:r>
      <w:r>
        <w:rPr>
          <w:rFonts w:hint="eastAsia" w:asciiTheme="minorEastAsia" w:hAnsiTheme="minorEastAsia" w:eastAsiaTheme="minorEastAsia" w:cstheme="minorEastAsia"/>
          <w:sz w:val="32"/>
          <w:szCs w:val="32"/>
        </w:rPr>
        <w:t>。人员经费用途主要包括</w:t>
      </w:r>
      <w:r>
        <w:rPr>
          <w:rFonts w:hint="eastAsia" w:asciiTheme="minorEastAsia" w:hAnsiTheme="minorEastAsia" w:eastAsiaTheme="minorEastAsia" w:cstheme="minorEastAsia"/>
          <w:color w:val="auto"/>
          <w:sz w:val="32"/>
          <w:szCs w:val="32"/>
        </w:rPr>
        <w:t>基本工资、津贴补贴、奖金、社会保障缴费等</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日常公用经费支出1650988.33，项目支出4493873.22</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四、“三公”经费情况说明</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（一）“三公”经费支出总额情况。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年度本</w:t>
      </w:r>
      <w:r>
        <w:rPr>
          <w:rFonts w:hint="eastAsia" w:asciiTheme="minorEastAsia" w:hAnsiTheme="minorEastAsia" w:eastAsiaTheme="minorEastAsia" w:cstheme="minorEastAsia"/>
          <w:sz w:val="32"/>
          <w:szCs w:val="32"/>
          <w:lang w:val="en-US" w:eastAsia="zh-CN"/>
        </w:rPr>
        <w:t>部门无</w:t>
      </w:r>
      <w:r>
        <w:rPr>
          <w:rFonts w:hint="eastAsia" w:asciiTheme="minorEastAsia" w:hAnsiTheme="minorEastAsia" w:eastAsiaTheme="minorEastAsia" w:cstheme="minorEastAsia"/>
          <w:sz w:val="32"/>
          <w:szCs w:val="32"/>
        </w:rPr>
        <w:t>“三公”经费支出。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五、其他需要说明的事项</w:t>
      </w:r>
    </w:p>
    <w:p>
      <w:pPr>
        <w:spacing w:line="6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本部门</w:t>
      </w:r>
      <w:r>
        <w:rPr>
          <w:rFonts w:hint="eastAsia" w:asciiTheme="minorEastAsia" w:hAnsiTheme="minorEastAsia" w:eastAsiaTheme="minorEastAsia" w:cstheme="minorEastAsia"/>
          <w:sz w:val="32"/>
          <w:szCs w:val="32"/>
          <w:lang w:val="en-US" w:eastAsia="zh-CN"/>
        </w:rPr>
        <w:t>无其他说明事项</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六、专业名词解释。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（一）财政拨款收入：指本年度从本级财政部门取得的财政拨款，包括一般公共预算财政拨款和政府性基金预算财政拨款。</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（二）事业收入：指事业单位开展专业业务活动及其辅助活动取得的收入；事业单位收到的财政专户实际核拨的教育收费等资金在此反映。</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（三）经营收入：指事业单位在专业业务活动及其辅助活动之外开展非独立核算经营活动取得的收入。</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（四）其他收入：指单位取得的除“财政拨款收入”、“事业收入”、“经营收入”等以外的收入，包括未纳入财政预算或财政专户管理的投资收益、银行存款利息收入、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（五）用事业基金弥补收支差额：指事业单位在当年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（六）年初结转和结余：指单位上年结转本年使用的基本支出结转、项目支出结转和结余、经营结余。不包括事业单位净资产项下的事业基金和专用基金。</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（八）年末结转和结余：指单位结转下年的基本支出结转、项目支出结转和结余、经营结余。不包括事业单位净资产项下的事业基金和专用基金。</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（十）项目支出：指在基本支出之外为完成特定行政任务和事业发展目标所发生的支出。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（十一）经营支出：指事业单位在专业业务活动及其辅助活动之外开展非独立核算经营活动发生的支出。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（十二）“三公”经费：指用一般公共预算财政拨款安排的因公出国（境）费、公务用车购置及运行维护费、公务接待费。其中，因公出国（境）费反映单位公务出国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（十三）机关运行经费：为保障行政单位（含参照公务员法管理的事业单位）运行用于购买货物和服务等的各项公用经费，包括办公及印刷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（十四）工资福利支出（支出经济分类科目类级）：反映单位开支的在职职工和编制外长期聘用人员的各类劳动报酬，以及为上述人员缴纳的各项社会保险费等。</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（十五）商品和服务支出（支出经济分类科目类级）：反映单位购买商品和服务的支出（不包括用于购置固定资产的支出、战略性和应急储备支出）。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（十六）对个人和家庭的补助（支出经济分类科目类级）：反映用于对个人和家庭的补助支出。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注：以上为常见专业名词解释目录，仅供参考，部门应根据实际情况进行解释和增减。比如可将类级功能科目和经济科目细化解释到项级。</w:t>
      </w:r>
    </w:p>
    <w:p>
      <w:pPr>
        <w:ind w:firstLine="640" w:firstLineChars="200"/>
        <w:rPr>
          <w:rFonts w:hint="eastAsia" w:asciiTheme="minorEastAsia" w:hAnsiTheme="minorEastAsia" w:eastAsiaTheme="minorEastAsia" w:cstheme="minorEastAsia"/>
          <w:sz w:val="32"/>
          <w:szCs w:val="32"/>
        </w:rPr>
      </w:pPr>
    </w:p>
    <w:p>
      <w:pPr>
        <w:ind w:firstLine="5760" w:firstLineChars="18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2019年12月</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日</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424B4"/>
    <w:rsid w:val="111979C5"/>
    <w:rsid w:val="43B417C6"/>
    <w:rsid w:val="454653C9"/>
    <w:rsid w:val="50B53CEE"/>
    <w:rsid w:val="677130C0"/>
    <w:rsid w:val="766424B4"/>
    <w:rsid w:val="7BCC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2019-10-10T01:00:00Z</dcterms:created>
  <dc:creator>风影</dc:creator>
  <cp:lastModifiedBy>dell</cp:lastModifiedBy>
  <dcterms:modified xsi:type="dcterms:W3CDTF">2020-03-02T12:29:21Z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