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Pr>
        <w:jc w:val="center"/>
        <w:rPr>
          <w:rFonts w:ascii="方正小标宋简体" w:eastAsia="方正小标宋简体"/>
          <w:sz w:val="36"/>
          <w:szCs w:val="36"/>
        </w:rPr>
      </w:pPr>
      <w:bookmarkStart w:id="0" w:name="_GoBack"/>
      <w:bookmarkEnd w:id="0"/>
      <w:r>
        <w:rPr>
          <w:rFonts w:hint="eastAsia" w:ascii="方正小标宋简体" w:eastAsia="方正小标宋简体"/>
          <w:sz w:val="36"/>
          <w:szCs w:val="36"/>
          <w:lang w:eastAsia="zh-CN"/>
        </w:rPr>
        <w:t>县信访局2019年</w:t>
      </w:r>
      <w:r>
        <w:rPr>
          <w:rFonts w:hint="eastAsia" w:ascii="方正小标宋简体" w:eastAsia="方正小标宋简体"/>
          <w:sz w:val="36"/>
          <w:szCs w:val="36"/>
        </w:rPr>
        <w:t>度部门决算情况说明</w:t>
      </w:r>
    </w:p>
    <w:p>
      <w:pPr>
        <w:snapToGrid w:val="0"/>
        <w:ind w:firstLine="640" w:firstLineChars="200"/>
        <w:rPr>
          <w:rFonts w:ascii="仿宋" w:hAnsi="仿宋" w:eastAsia="仿宋" w:cs="仿宋"/>
          <w:sz w:val="32"/>
          <w:szCs w:val="32"/>
        </w:rPr>
      </w:pPr>
    </w:p>
    <w:p>
      <w:pPr>
        <w:pStyle w:val="7"/>
        <w:widowControl/>
        <w:wordWrap/>
        <w:adjustRightInd/>
        <w:snapToGrid/>
        <w:spacing w:before="0" w:beforeAutospacing="0" w:after="0" w:afterAutospacing="0" w:line="312" w:lineRule="auto"/>
        <w:ind w:left="-210" w:leftChars="-100" w:right="-210" w:rightChars="-100" w:firstLine="420"/>
        <w:jc w:val="both"/>
        <w:textAlignment w:val="auto"/>
        <w:rPr>
          <w:rFonts w:hint="eastAsia" w:ascii="宋体" w:hAnsi="宋体" w:eastAsia="宋体" w:cs="宋体"/>
          <w:b/>
          <w:bCs/>
          <w:sz w:val="32"/>
          <w:szCs w:val="32"/>
        </w:rPr>
      </w:pPr>
      <w:r>
        <w:rPr>
          <w:rFonts w:hint="eastAsia" w:ascii="宋体" w:hAnsi="宋体" w:eastAsia="宋体" w:cs="宋体"/>
          <w:b/>
          <w:bCs/>
          <w:i w:val="0"/>
          <w:color w:val="000000"/>
          <w:spacing w:val="0"/>
          <w:sz w:val="32"/>
          <w:szCs w:val="32"/>
        </w:rPr>
        <w:t>一、部门基本情况</w:t>
      </w:r>
    </w:p>
    <w:p>
      <w:pPr>
        <w:pStyle w:val="7"/>
        <w:widowControl/>
        <w:wordWrap/>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b/>
          <w:i w:val="0"/>
          <w:color w:val="000000"/>
          <w:spacing w:val="0"/>
          <w:sz w:val="32"/>
          <w:szCs w:val="32"/>
        </w:rPr>
        <w:t>（一）职能职责</w:t>
      </w:r>
    </w:p>
    <w:p>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Autospacing="0" w:after="0" w:afterAutospacing="0"/>
        <w:ind w:left="-210" w:leftChars="-100" w:right="-210" w:rightChars="-10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sz w:val="32"/>
          <w:szCs w:val="32"/>
          <w:lang w:eastAsia="zh-CN"/>
        </w:rPr>
        <w:t>县信访局是县委正科级工作部门，主要职责是</w:t>
      </w:r>
      <w:r>
        <w:rPr>
          <w:rFonts w:hint="eastAsia" w:ascii="仿宋" w:hAnsi="仿宋" w:eastAsia="仿宋" w:cs="仿宋"/>
          <w:i w:val="0"/>
          <w:caps w:val="0"/>
          <w:color w:val="333333"/>
          <w:spacing w:val="0"/>
          <w:kern w:val="0"/>
          <w:sz w:val="32"/>
          <w:szCs w:val="32"/>
          <w:shd w:val="clear" w:color="080000" w:fill="FFFFFF"/>
          <w:lang w:val="en-US" w:eastAsia="zh-CN"/>
        </w:rPr>
        <w:t>受理、交办、转送信访人提出的信访事项;承办上级和县委、县政府交办的信访事项；协调处理重要信访事项；督促检查信访事项的处理；研究、分析信访情况，开展调查研究，及时向县委、县政府提出完善政策和改进工作的建议；对县委、县政府其他工作部门和乡镇党委、政府信访工作机构的信访工作进行指导。组织信访干部的培训；指导信访部门办公信息化建设；负责信访工作的宣传和信息发布；协调信访工作对外交流。</w:t>
      </w:r>
    </w:p>
    <w:p>
      <w:pPr>
        <w:pStyle w:val="7"/>
        <w:widowControl/>
        <w:wordWrap/>
        <w:adjustRightInd/>
        <w:snapToGrid/>
        <w:spacing w:before="0" w:beforeAutospacing="0" w:after="0" w:afterAutospacing="0" w:line="312" w:lineRule="auto"/>
        <w:ind w:left="-210" w:leftChars="-100" w:right="-210" w:rightChars="-100" w:firstLine="321" w:firstLineChars="100"/>
        <w:jc w:val="both"/>
        <w:textAlignment w:val="auto"/>
        <w:rPr>
          <w:rFonts w:hint="eastAsia" w:ascii="仿宋" w:hAnsi="仿宋" w:eastAsia="仿宋" w:cs="仿宋"/>
          <w:sz w:val="32"/>
          <w:szCs w:val="32"/>
        </w:rPr>
      </w:pPr>
      <w:r>
        <w:rPr>
          <w:rFonts w:hint="eastAsia" w:ascii="仿宋" w:hAnsi="仿宋" w:eastAsia="仿宋" w:cs="仿宋"/>
          <w:b/>
          <w:i w:val="0"/>
          <w:color w:val="000000"/>
          <w:spacing w:val="0"/>
          <w:sz w:val="32"/>
          <w:szCs w:val="32"/>
        </w:rPr>
        <w:t>（二）机构设置</w:t>
      </w:r>
    </w:p>
    <w:p>
      <w:pPr>
        <w:pStyle w:val="7"/>
        <w:widowControl/>
        <w:wordWrap/>
        <w:adjustRightInd/>
        <w:snapToGrid/>
        <w:spacing w:before="0" w:beforeAutospacing="0" w:after="0" w:afterAutospacing="0" w:line="312" w:lineRule="auto"/>
        <w:ind w:left="-210" w:leftChars="-100" w:right="-210" w:rightChars="-100" w:firstLine="640" w:firstLineChars="20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rPr>
        <w:t>积石山县</w:t>
      </w:r>
      <w:r>
        <w:rPr>
          <w:rFonts w:hint="eastAsia" w:ascii="仿宋" w:hAnsi="仿宋" w:eastAsia="仿宋" w:cs="仿宋"/>
          <w:i w:val="0"/>
          <w:color w:val="000000"/>
          <w:spacing w:val="0"/>
          <w:sz w:val="32"/>
          <w:szCs w:val="32"/>
          <w:lang w:eastAsia="zh-CN"/>
        </w:rPr>
        <w:t>信访局</w:t>
      </w:r>
      <w:r>
        <w:rPr>
          <w:rFonts w:hint="eastAsia" w:ascii="仿宋" w:hAnsi="仿宋" w:eastAsia="仿宋" w:cs="仿宋"/>
          <w:i w:val="0"/>
          <w:color w:val="000000"/>
          <w:spacing w:val="0"/>
          <w:sz w:val="32"/>
          <w:szCs w:val="32"/>
        </w:rPr>
        <w:t>是财政全额拨款</w:t>
      </w:r>
      <w:r>
        <w:rPr>
          <w:rFonts w:hint="eastAsia" w:ascii="仿宋" w:hAnsi="仿宋" w:eastAsia="仿宋" w:cs="仿宋"/>
          <w:i w:val="0"/>
          <w:color w:val="000000"/>
          <w:spacing w:val="0"/>
          <w:sz w:val="32"/>
          <w:szCs w:val="32"/>
          <w:lang w:eastAsia="zh-CN"/>
        </w:rPr>
        <w:t>行政</w:t>
      </w:r>
      <w:r>
        <w:rPr>
          <w:rFonts w:hint="eastAsia" w:ascii="仿宋" w:hAnsi="仿宋" w:eastAsia="仿宋" w:cs="仿宋"/>
          <w:i w:val="0"/>
          <w:color w:val="000000"/>
          <w:spacing w:val="0"/>
          <w:sz w:val="32"/>
          <w:szCs w:val="32"/>
        </w:rPr>
        <w:t>单位。</w:t>
      </w:r>
      <w:r>
        <w:rPr>
          <w:rFonts w:hint="eastAsia" w:ascii="仿宋" w:hAnsi="仿宋" w:eastAsia="仿宋" w:cs="仿宋"/>
          <w:i w:val="0"/>
          <w:color w:val="333333"/>
          <w:spacing w:val="0"/>
          <w:sz w:val="32"/>
          <w:szCs w:val="32"/>
        </w:rPr>
        <w:t>单位</w:t>
      </w:r>
      <w:r>
        <w:rPr>
          <w:rFonts w:hint="eastAsia" w:ascii="仿宋" w:hAnsi="仿宋" w:eastAsia="仿宋" w:cs="仿宋"/>
          <w:i w:val="0"/>
          <w:color w:val="333333"/>
          <w:spacing w:val="0"/>
          <w:sz w:val="32"/>
          <w:szCs w:val="32"/>
          <w:lang w:eastAsia="zh-CN"/>
        </w:rPr>
        <w:t>核定行政编制</w:t>
      </w:r>
      <w:r>
        <w:rPr>
          <w:rFonts w:hint="eastAsia" w:ascii="仿宋" w:hAnsi="仿宋" w:eastAsia="仿宋" w:cs="仿宋"/>
          <w:i w:val="0"/>
          <w:color w:val="333333"/>
          <w:spacing w:val="0"/>
          <w:sz w:val="32"/>
          <w:szCs w:val="32"/>
          <w:lang w:val="en-US" w:eastAsia="zh-CN"/>
        </w:rPr>
        <w:t>6</w:t>
      </w:r>
      <w:r>
        <w:rPr>
          <w:rFonts w:hint="eastAsia" w:ascii="仿宋" w:hAnsi="仿宋" w:eastAsia="仿宋" w:cs="仿宋"/>
          <w:i w:val="0"/>
          <w:color w:val="333333"/>
          <w:spacing w:val="0"/>
          <w:sz w:val="32"/>
          <w:szCs w:val="32"/>
          <w:lang w:eastAsia="zh-CN"/>
        </w:rPr>
        <w:t>名</w:t>
      </w:r>
      <w:r>
        <w:rPr>
          <w:rFonts w:hint="eastAsia" w:ascii="仿宋" w:hAnsi="仿宋" w:eastAsia="仿宋" w:cs="仿宋"/>
          <w:i w:val="0"/>
          <w:color w:val="333333"/>
          <w:spacing w:val="0"/>
          <w:sz w:val="32"/>
          <w:szCs w:val="32"/>
        </w:rPr>
        <w:t>，</w:t>
      </w:r>
      <w:r>
        <w:rPr>
          <w:rFonts w:hint="eastAsia" w:ascii="仿宋" w:hAnsi="仿宋" w:eastAsia="仿宋" w:cs="仿宋"/>
          <w:i w:val="0"/>
          <w:color w:val="333333"/>
          <w:spacing w:val="0"/>
          <w:sz w:val="32"/>
          <w:szCs w:val="32"/>
          <w:lang w:eastAsia="zh-CN"/>
        </w:rPr>
        <w:t>机关工勤</w:t>
      </w:r>
      <w:r>
        <w:rPr>
          <w:rFonts w:hint="eastAsia" w:ascii="仿宋" w:hAnsi="仿宋" w:eastAsia="仿宋" w:cs="仿宋"/>
          <w:i w:val="0"/>
          <w:color w:val="333333"/>
          <w:spacing w:val="0"/>
          <w:sz w:val="32"/>
          <w:szCs w:val="32"/>
          <w:lang w:val="en-US" w:eastAsia="zh-CN"/>
        </w:rPr>
        <w:t>1名。实有行政人员5人，工勤1人，事业5人，共计11人，</w:t>
      </w:r>
      <w:r>
        <w:rPr>
          <w:rFonts w:hint="eastAsia" w:ascii="仿宋" w:hAnsi="仿宋" w:eastAsia="仿宋" w:cs="仿宋"/>
          <w:i w:val="0"/>
          <w:color w:val="333333"/>
          <w:spacing w:val="0"/>
          <w:sz w:val="32"/>
          <w:szCs w:val="32"/>
          <w:lang w:eastAsia="zh-CN"/>
        </w:rPr>
        <w:t>下设</w:t>
      </w:r>
      <w:r>
        <w:rPr>
          <w:rFonts w:hint="eastAsia" w:ascii="仿宋" w:hAnsi="仿宋" w:eastAsia="仿宋" w:cs="仿宋"/>
          <w:i w:val="0"/>
          <w:color w:val="333333"/>
          <w:spacing w:val="0"/>
          <w:sz w:val="32"/>
          <w:szCs w:val="32"/>
          <w:lang w:val="en-US" w:eastAsia="zh-CN"/>
        </w:rPr>
        <w:t>3个股室</w:t>
      </w:r>
      <w:r>
        <w:rPr>
          <w:rFonts w:hint="eastAsia" w:ascii="仿宋" w:hAnsi="仿宋" w:eastAsia="仿宋" w:cs="仿宋"/>
          <w:i w:val="0"/>
          <w:color w:val="000000"/>
          <w:spacing w:val="0"/>
          <w:sz w:val="32"/>
          <w:szCs w:val="32"/>
        </w:rPr>
        <w:t>。</w:t>
      </w:r>
    </w:p>
    <w:p>
      <w:pPr>
        <w:pStyle w:val="7"/>
        <w:widowControl/>
        <w:wordWrap/>
        <w:adjustRightInd/>
        <w:snapToGrid/>
        <w:spacing w:before="0" w:beforeAutospacing="0" w:after="0" w:afterAutospacing="0" w:line="312" w:lineRule="auto"/>
        <w:ind w:right="-210" w:rightChars="-100" w:firstLine="321" w:firstLineChars="100"/>
        <w:jc w:val="both"/>
        <w:textAlignment w:val="auto"/>
        <w:rPr>
          <w:rFonts w:hint="eastAsia" w:ascii="宋体" w:hAnsi="宋体" w:eastAsia="宋体" w:cs="宋体"/>
          <w:b/>
          <w:bCs/>
          <w:sz w:val="32"/>
          <w:szCs w:val="32"/>
        </w:rPr>
      </w:pPr>
      <w:r>
        <w:rPr>
          <w:rFonts w:hint="eastAsia" w:ascii="宋体" w:hAnsi="宋体" w:eastAsia="宋体" w:cs="宋体"/>
          <w:b/>
          <w:bCs/>
          <w:i w:val="0"/>
          <w:color w:val="000000"/>
          <w:spacing w:val="0"/>
          <w:sz w:val="32"/>
          <w:szCs w:val="32"/>
        </w:rPr>
        <w:t>二、2019年度部门决算报表</w:t>
      </w:r>
    </w:p>
    <w:p>
      <w:pPr>
        <w:pStyle w:val="7"/>
        <w:widowControl/>
        <w:wordWrap/>
        <w:adjustRightInd/>
        <w:snapToGrid/>
        <w:spacing w:before="0" w:beforeAutospacing="0" w:after="0" w:afterAutospacing="0" w:line="312" w:lineRule="auto"/>
        <w:ind w:right="-210" w:rightChars="-100" w:firstLine="320" w:firstLineChars="10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rPr>
        <w:t>表一：收入支出决算总表</w:t>
      </w:r>
    </w:p>
    <w:p>
      <w:pPr>
        <w:pStyle w:val="7"/>
        <w:widowControl/>
        <w:wordWrap/>
        <w:adjustRightInd/>
        <w:snapToGrid/>
        <w:spacing w:before="0" w:beforeAutospacing="0" w:after="0" w:afterAutospacing="0" w:line="312" w:lineRule="auto"/>
        <w:ind w:right="-210" w:rightChars="-100" w:firstLine="320" w:firstLineChars="10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rPr>
        <w:t>表二：收入决算表</w:t>
      </w:r>
    </w:p>
    <w:p>
      <w:pPr>
        <w:pStyle w:val="7"/>
        <w:widowControl/>
        <w:wordWrap/>
        <w:adjustRightInd/>
        <w:snapToGrid/>
        <w:spacing w:before="0" w:beforeAutospacing="0" w:after="0" w:afterAutospacing="0" w:line="312" w:lineRule="auto"/>
        <w:ind w:right="-210" w:rightChars="-100" w:firstLine="320" w:firstLineChars="10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rPr>
        <w:t>表三：支出决算表</w:t>
      </w:r>
    </w:p>
    <w:p>
      <w:pPr>
        <w:pStyle w:val="7"/>
        <w:widowControl/>
        <w:wordWrap/>
        <w:adjustRightInd/>
        <w:snapToGrid/>
        <w:spacing w:before="0" w:beforeAutospacing="0" w:after="0" w:afterAutospacing="0" w:line="312" w:lineRule="auto"/>
        <w:ind w:right="-210" w:rightChars="-100" w:firstLine="320" w:firstLineChars="10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rPr>
        <w:t>表四：财政拨款收入支出决算总表</w:t>
      </w:r>
    </w:p>
    <w:p>
      <w:pPr>
        <w:pStyle w:val="7"/>
        <w:widowControl/>
        <w:wordWrap/>
        <w:adjustRightInd/>
        <w:snapToGrid/>
        <w:spacing w:before="0" w:beforeAutospacing="0" w:after="0" w:afterAutospacing="0" w:line="312" w:lineRule="auto"/>
        <w:ind w:right="-210" w:rightChars="-100" w:firstLine="320" w:firstLineChars="10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rPr>
        <w:t>表五：一般公共预算财政拨款支出决算表</w:t>
      </w:r>
    </w:p>
    <w:p>
      <w:pPr>
        <w:pStyle w:val="7"/>
        <w:widowControl/>
        <w:wordWrap/>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rPr>
        <w:t>表六：一般公共预算财政拨款基本支出决算表</w:t>
      </w:r>
    </w:p>
    <w:p>
      <w:pPr>
        <w:pStyle w:val="7"/>
        <w:widowControl/>
        <w:wordWrap/>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rPr>
        <w:t>表七：政府性基金预算财政拨款收入支出决算表</w:t>
      </w:r>
    </w:p>
    <w:p>
      <w:pPr>
        <w:pStyle w:val="7"/>
        <w:widowControl/>
        <w:wordWrap/>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rPr>
        <w:t>表八：一般公共预算财政拨款“三公”经费支出决算表</w:t>
      </w:r>
    </w:p>
    <w:p>
      <w:pPr>
        <w:pStyle w:val="7"/>
        <w:widowControl/>
        <w:wordWrap/>
        <w:adjustRightInd/>
        <w:snapToGrid/>
        <w:spacing w:before="0" w:beforeAutospacing="0" w:after="0" w:afterAutospacing="0" w:line="312" w:lineRule="auto"/>
        <w:ind w:right="-210" w:rightChars="-100" w:firstLine="321" w:firstLineChars="100"/>
        <w:jc w:val="both"/>
        <w:textAlignment w:val="auto"/>
        <w:rPr>
          <w:rFonts w:hint="eastAsia" w:ascii="宋体" w:hAnsi="宋体" w:eastAsia="宋体" w:cs="宋体"/>
          <w:b/>
          <w:bCs/>
          <w:sz w:val="32"/>
          <w:szCs w:val="32"/>
        </w:rPr>
      </w:pPr>
      <w:r>
        <w:rPr>
          <w:rFonts w:hint="eastAsia" w:ascii="宋体" w:hAnsi="宋体" w:eastAsia="宋体" w:cs="宋体"/>
          <w:b/>
          <w:bCs/>
          <w:i w:val="0"/>
          <w:color w:val="000000"/>
          <w:spacing w:val="0"/>
          <w:sz w:val="32"/>
          <w:szCs w:val="32"/>
        </w:rPr>
        <w:t>三、2019年度部门决算情况说明</w:t>
      </w:r>
    </w:p>
    <w:p>
      <w:pPr>
        <w:pStyle w:val="7"/>
        <w:widowControl/>
        <w:wordWrap/>
        <w:adjustRightInd/>
        <w:snapToGrid/>
        <w:spacing w:before="0" w:beforeAutospacing="0" w:after="0" w:afterAutospacing="0" w:line="312" w:lineRule="auto"/>
        <w:ind w:right="-210" w:rightChars="-100" w:firstLine="321" w:firstLineChars="100"/>
        <w:jc w:val="both"/>
        <w:textAlignment w:val="auto"/>
        <w:rPr>
          <w:rFonts w:hint="eastAsia" w:ascii="仿宋" w:hAnsi="仿宋" w:eastAsia="仿宋" w:cs="仿宋"/>
          <w:sz w:val="32"/>
          <w:szCs w:val="32"/>
        </w:rPr>
      </w:pPr>
      <w:r>
        <w:rPr>
          <w:rFonts w:hint="eastAsia" w:ascii="仿宋" w:hAnsi="仿宋" w:eastAsia="仿宋" w:cs="仿宋"/>
          <w:b/>
          <w:i w:val="0"/>
          <w:color w:val="000000"/>
          <w:spacing w:val="0"/>
          <w:sz w:val="32"/>
          <w:szCs w:val="32"/>
        </w:rPr>
        <w:t>（一）收入支出决算总体情况说明</w:t>
      </w:r>
    </w:p>
    <w:p>
      <w:pPr>
        <w:spacing w:line="520" w:lineRule="exact"/>
        <w:ind w:firstLine="640" w:firstLineChars="200"/>
        <w:rPr>
          <w:rFonts w:ascii="仿宋" w:hAnsi="仿宋" w:eastAsia="仿宋" w:cs="仿宋"/>
          <w:sz w:val="32"/>
          <w:szCs w:val="32"/>
        </w:rPr>
      </w:pPr>
      <w:r>
        <w:rPr>
          <w:rFonts w:hint="eastAsia" w:ascii="仿宋" w:hAnsi="仿宋" w:eastAsia="仿宋" w:cs="仿宋"/>
          <w:i w:val="0"/>
          <w:color w:val="000000"/>
          <w:spacing w:val="0"/>
          <w:sz w:val="32"/>
          <w:szCs w:val="32"/>
        </w:rPr>
        <w:t>2019年度收入总计</w:t>
      </w:r>
      <w:r>
        <w:rPr>
          <w:rFonts w:hint="eastAsia" w:ascii="仿宋" w:hAnsi="仿宋" w:eastAsia="仿宋" w:cs="仿宋"/>
          <w:i w:val="0"/>
          <w:color w:val="000000"/>
          <w:spacing w:val="0"/>
          <w:sz w:val="32"/>
          <w:szCs w:val="32"/>
          <w:lang w:val="en-US" w:eastAsia="zh-CN"/>
        </w:rPr>
        <w:t>1506525.87</w:t>
      </w:r>
      <w:r>
        <w:rPr>
          <w:rFonts w:hint="eastAsia" w:ascii="仿宋" w:hAnsi="仿宋" w:eastAsia="仿宋" w:cs="仿宋"/>
          <w:i w:val="0"/>
          <w:color w:val="000000"/>
          <w:spacing w:val="0"/>
          <w:sz w:val="32"/>
          <w:szCs w:val="32"/>
        </w:rPr>
        <w:t>元，支出总计</w:t>
      </w:r>
      <w:r>
        <w:rPr>
          <w:rFonts w:hint="eastAsia" w:ascii="仿宋" w:hAnsi="仿宋" w:eastAsia="仿宋" w:cs="仿宋"/>
          <w:i w:val="0"/>
          <w:color w:val="000000"/>
          <w:spacing w:val="0"/>
          <w:sz w:val="32"/>
          <w:szCs w:val="32"/>
          <w:lang w:val="en-US" w:eastAsia="zh-CN"/>
        </w:rPr>
        <w:t>1506524.57</w:t>
      </w:r>
      <w:r>
        <w:rPr>
          <w:rFonts w:hint="eastAsia" w:ascii="仿宋" w:hAnsi="仿宋" w:eastAsia="仿宋" w:cs="仿宋"/>
          <w:i w:val="0"/>
          <w:color w:val="000000"/>
          <w:spacing w:val="0"/>
          <w:sz w:val="32"/>
          <w:szCs w:val="32"/>
        </w:rPr>
        <w:t>元。</w:t>
      </w:r>
      <w:r>
        <w:rPr>
          <w:rFonts w:hint="eastAsia" w:ascii="仿宋" w:hAnsi="仿宋" w:eastAsia="仿宋" w:cs="仿宋"/>
          <w:sz w:val="32"/>
          <w:szCs w:val="32"/>
        </w:rPr>
        <w:t>与2018年决算数相比，收入</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189653.27</w:t>
      </w:r>
      <w:r>
        <w:rPr>
          <w:rFonts w:hint="eastAsia" w:ascii="仿宋" w:hAnsi="仿宋" w:eastAsia="仿宋" w:cs="仿宋"/>
          <w:sz w:val="32"/>
          <w:szCs w:val="32"/>
        </w:rPr>
        <w:t>元，支出</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189654.57</w:t>
      </w:r>
      <w:r>
        <w:rPr>
          <w:rFonts w:hint="eastAsia" w:ascii="仿宋" w:hAnsi="仿宋" w:eastAsia="仿宋" w:cs="仿宋"/>
          <w:sz w:val="32"/>
          <w:szCs w:val="32"/>
        </w:rPr>
        <w:t>元。主要原因是</w:t>
      </w:r>
      <w:r>
        <w:rPr>
          <w:rFonts w:hint="eastAsia" w:ascii="仿宋" w:hAnsi="仿宋" w:eastAsia="仿宋" w:cs="仿宋"/>
          <w:sz w:val="32"/>
          <w:szCs w:val="32"/>
          <w:lang w:eastAsia="zh-CN"/>
        </w:rPr>
        <w:t>人员经费减少</w:t>
      </w:r>
      <w:r>
        <w:rPr>
          <w:rFonts w:hint="eastAsia" w:ascii="仿宋" w:hAnsi="仿宋" w:eastAsia="仿宋" w:cs="仿宋"/>
          <w:sz w:val="32"/>
          <w:szCs w:val="32"/>
        </w:rPr>
        <w:t>。</w:t>
      </w:r>
    </w:p>
    <w:p>
      <w:pPr>
        <w:pStyle w:val="7"/>
        <w:widowControl/>
        <w:wordWrap/>
        <w:adjustRightInd/>
        <w:snapToGrid/>
        <w:spacing w:before="0" w:beforeAutospacing="0" w:after="0" w:afterAutospacing="0" w:line="312" w:lineRule="auto"/>
        <w:ind w:right="-210" w:rightChars="-100" w:firstLine="640" w:firstLineChars="20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rPr>
        <w:t>2019年度收入合计</w:t>
      </w:r>
      <w:r>
        <w:rPr>
          <w:rFonts w:hint="eastAsia" w:ascii="仿宋" w:hAnsi="仿宋" w:eastAsia="仿宋" w:cs="仿宋"/>
          <w:i w:val="0"/>
          <w:color w:val="000000"/>
          <w:spacing w:val="0"/>
          <w:sz w:val="32"/>
          <w:szCs w:val="32"/>
          <w:lang w:val="en-US" w:eastAsia="zh-CN"/>
        </w:rPr>
        <w:t>1506525.87</w:t>
      </w:r>
      <w:r>
        <w:rPr>
          <w:rFonts w:hint="eastAsia" w:ascii="仿宋" w:hAnsi="仿宋" w:eastAsia="仿宋" w:cs="仿宋"/>
          <w:i w:val="0"/>
          <w:color w:val="000000"/>
          <w:spacing w:val="0"/>
          <w:sz w:val="32"/>
          <w:szCs w:val="32"/>
        </w:rPr>
        <w:t>，其中：财政拨款收入</w:t>
      </w:r>
      <w:r>
        <w:rPr>
          <w:rFonts w:hint="eastAsia" w:ascii="仿宋" w:hAnsi="仿宋" w:eastAsia="仿宋" w:cs="仿宋"/>
          <w:i w:val="0"/>
          <w:color w:val="000000"/>
          <w:spacing w:val="0"/>
          <w:sz w:val="32"/>
          <w:szCs w:val="32"/>
          <w:lang w:val="en-US" w:eastAsia="zh-CN"/>
        </w:rPr>
        <w:t>1506525.87</w:t>
      </w:r>
      <w:r>
        <w:rPr>
          <w:rFonts w:hint="eastAsia" w:ascii="仿宋" w:hAnsi="仿宋" w:eastAsia="仿宋" w:cs="仿宋"/>
          <w:i w:val="0"/>
          <w:color w:val="000000"/>
          <w:spacing w:val="0"/>
          <w:sz w:val="32"/>
          <w:szCs w:val="32"/>
        </w:rPr>
        <w:t>元，占100%。</w:t>
      </w:r>
    </w:p>
    <w:p>
      <w:pPr>
        <w:pStyle w:val="7"/>
        <w:widowControl/>
        <w:wordWrap/>
        <w:adjustRightInd/>
        <w:snapToGrid/>
        <w:spacing w:before="0" w:beforeAutospacing="0" w:after="0" w:afterAutospacing="0" w:line="312" w:lineRule="auto"/>
        <w:ind w:right="-210" w:rightChars="-100" w:firstLine="640" w:firstLineChars="200"/>
        <w:jc w:val="both"/>
        <w:textAlignment w:val="auto"/>
        <w:rPr>
          <w:rFonts w:hint="eastAsia" w:ascii="仿宋" w:hAnsi="仿宋" w:eastAsia="仿宋" w:cs="仿宋"/>
          <w:i w:val="0"/>
          <w:color w:val="000000"/>
          <w:spacing w:val="0"/>
          <w:sz w:val="32"/>
          <w:szCs w:val="32"/>
          <w:lang w:val="en-US" w:eastAsia="zh-CN"/>
        </w:rPr>
      </w:pPr>
      <w:r>
        <w:rPr>
          <w:rFonts w:hint="eastAsia" w:ascii="仿宋" w:hAnsi="仿宋" w:eastAsia="仿宋" w:cs="仿宋"/>
          <w:i w:val="0"/>
          <w:color w:val="000000"/>
          <w:spacing w:val="0"/>
          <w:sz w:val="32"/>
          <w:szCs w:val="32"/>
        </w:rPr>
        <w:t>2019年度支出合计</w:t>
      </w:r>
      <w:r>
        <w:rPr>
          <w:rFonts w:hint="eastAsia" w:ascii="仿宋" w:hAnsi="仿宋" w:eastAsia="仿宋" w:cs="仿宋"/>
          <w:i w:val="0"/>
          <w:color w:val="000000"/>
          <w:spacing w:val="0"/>
          <w:sz w:val="32"/>
          <w:szCs w:val="32"/>
          <w:lang w:val="en-US" w:eastAsia="zh-CN"/>
        </w:rPr>
        <w:t>1506524.57</w:t>
      </w:r>
      <w:r>
        <w:rPr>
          <w:rFonts w:hint="eastAsia" w:ascii="仿宋" w:hAnsi="仿宋" w:eastAsia="仿宋" w:cs="仿宋"/>
          <w:i w:val="0"/>
          <w:color w:val="000000"/>
          <w:spacing w:val="0"/>
          <w:sz w:val="32"/>
          <w:szCs w:val="32"/>
        </w:rPr>
        <w:t>元，其中：基本支出</w:t>
      </w:r>
      <w:r>
        <w:rPr>
          <w:rFonts w:hint="eastAsia" w:ascii="仿宋" w:hAnsi="仿宋" w:eastAsia="仿宋" w:cs="仿宋"/>
          <w:i w:val="0"/>
          <w:color w:val="000000"/>
          <w:spacing w:val="0"/>
          <w:sz w:val="32"/>
          <w:szCs w:val="32"/>
          <w:lang w:val="en-US" w:eastAsia="zh-CN"/>
        </w:rPr>
        <w:t>1475981.36</w:t>
      </w:r>
      <w:r>
        <w:rPr>
          <w:rFonts w:hint="eastAsia" w:ascii="仿宋" w:hAnsi="仿宋" w:eastAsia="仿宋" w:cs="仿宋"/>
          <w:i w:val="0"/>
          <w:color w:val="000000"/>
          <w:spacing w:val="0"/>
          <w:sz w:val="32"/>
          <w:szCs w:val="32"/>
        </w:rPr>
        <w:t>元，占</w:t>
      </w:r>
      <w:r>
        <w:rPr>
          <w:rFonts w:hint="eastAsia" w:ascii="仿宋" w:hAnsi="仿宋" w:eastAsia="仿宋" w:cs="仿宋"/>
          <w:i w:val="0"/>
          <w:color w:val="000000"/>
          <w:spacing w:val="0"/>
          <w:sz w:val="32"/>
          <w:szCs w:val="32"/>
          <w:lang w:val="en-US" w:eastAsia="zh-CN"/>
        </w:rPr>
        <w:t>98</w:t>
      </w:r>
      <w:r>
        <w:rPr>
          <w:rFonts w:hint="eastAsia" w:ascii="仿宋" w:hAnsi="仿宋" w:eastAsia="仿宋" w:cs="仿宋"/>
          <w:i w:val="0"/>
          <w:color w:val="000000"/>
          <w:spacing w:val="0"/>
          <w:sz w:val="32"/>
          <w:szCs w:val="32"/>
        </w:rPr>
        <w:t>%</w:t>
      </w:r>
      <w:r>
        <w:rPr>
          <w:rFonts w:hint="eastAsia" w:ascii="仿宋" w:hAnsi="仿宋" w:eastAsia="仿宋" w:cs="仿宋"/>
          <w:i w:val="0"/>
          <w:color w:val="000000"/>
          <w:spacing w:val="0"/>
          <w:sz w:val="32"/>
          <w:szCs w:val="32"/>
          <w:lang w:val="en-US" w:eastAsia="zh-CN"/>
        </w:rPr>
        <w:t>。</w:t>
      </w:r>
    </w:p>
    <w:p>
      <w:pPr>
        <w:pStyle w:val="7"/>
        <w:widowControl/>
        <w:wordWrap/>
        <w:adjustRightInd/>
        <w:snapToGrid/>
        <w:spacing w:before="0" w:beforeAutospacing="0" w:after="0" w:afterAutospacing="0" w:line="312" w:lineRule="auto"/>
        <w:ind w:right="-210" w:rightChars="-100" w:firstLine="640" w:firstLineChars="20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rPr>
        <w:t>201</w:t>
      </w:r>
      <w:r>
        <w:rPr>
          <w:rFonts w:hint="eastAsia" w:ascii="仿宋" w:hAnsi="仿宋" w:eastAsia="仿宋" w:cs="仿宋"/>
          <w:i w:val="0"/>
          <w:color w:val="000000"/>
          <w:spacing w:val="0"/>
          <w:sz w:val="32"/>
          <w:szCs w:val="32"/>
          <w:lang w:val="en-US" w:eastAsia="zh-CN"/>
        </w:rPr>
        <w:t>9</w:t>
      </w:r>
      <w:r>
        <w:rPr>
          <w:rFonts w:hint="eastAsia" w:ascii="仿宋" w:hAnsi="仿宋" w:eastAsia="仿宋" w:cs="仿宋"/>
          <w:i w:val="0"/>
          <w:color w:val="000000"/>
          <w:spacing w:val="0"/>
          <w:sz w:val="32"/>
          <w:szCs w:val="32"/>
        </w:rPr>
        <w:t>年度年末结转和结余</w:t>
      </w:r>
      <w:r>
        <w:rPr>
          <w:rFonts w:hint="eastAsia" w:ascii="仿宋" w:hAnsi="仿宋" w:eastAsia="仿宋" w:cs="仿宋"/>
          <w:i w:val="0"/>
          <w:color w:val="000000"/>
          <w:spacing w:val="0"/>
          <w:sz w:val="32"/>
          <w:szCs w:val="32"/>
          <w:lang w:val="en-US" w:eastAsia="zh-CN"/>
        </w:rPr>
        <w:t>30543.21</w:t>
      </w:r>
      <w:r>
        <w:rPr>
          <w:rFonts w:hint="eastAsia" w:ascii="仿宋" w:hAnsi="仿宋" w:eastAsia="仿宋" w:cs="仿宋"/>
          <w:i w:val="0"/>
          <w:color w:val="000000"/>
          <w:spacing w:val="0"/>
          <w:sz w:val="32"/>
          <w:szCs w:val="32"/>
        </w:rPr>
        <w:t>元，主要原因是</w:t>
      </w:r>
      <w:r>
        <w:rPr>
          <w:rFonts w:hint="eastAsia" w:ascii="仿宋" w:hAnsi="仿宋" w:eastAsia="仿宋" w:cs="仿宋"/>
          <w:i w:val="0"/>
          <w:color w:val="000000"/>
          <w:spacing w:val="0"/>
          <w:sz w:val="32"/>
          <w:szCs w:val="32"/>
          <w:lang w:eastAsia="zh-CN"/>
        </w:rPr>
        <w:t>解决疑难信访问题资金未全部到位，暂缓解决</w:t>
      </w:r>
      <w:r>
        <w:rPr>
          <w:rFonts w:hint="eastAsia" w:ascii="仿宋" w:hAnsi="仿宋" w:eastAsia="仿宋" w:cs="仿宋"/>
          <w:i w:val="0"/>
          <w:color w:val="000000"/>
          <w:spacing w:val="0"/>
          <w:sz w:val="32"/>
          <w:szCs w:val="32"/>
        </w:rPr>
        <w:t>。</w:t>
      </w:r>
    </w:p>
    <w:p>
      <w:pPr>
        <w:pStyle w:val="7"/>
        <w:widowControl/>
        <w:wordWrap/>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b/>
          <w:i w:val="0"/>
          <w:color w:val="000000"/>
          <w:spacing w:val="0"/>
          <w:sz w:val="32"/>
          <w:szCs w:val="32"/>
        </w:rPr>
        <w:t>（</w:t>
      </w:r>
      <w:r>
        <w:rPr>
          <w:rFonts w:hint="eastAsia" w:ascii="仿宋" w:hAnsi="仿宋" w:eastAsia="仿宋" w:cs="仿宋"/>
          <w:b/>
          <w:i w:val="0"/>
          <w:color w:val="000000"/>
          <w:spacing w:val="0"/>
          <w:sz w:val="32"/>
          <w:szCs w:val="32"/>
          <w:lang w:eastAsia="zh-CN"/>
        </w:rPr>
        <w:t>二</w:t>
      </w:r>
      <w:r>
        <w:rPr>
          <w:rFonts w:hint="eastAsia" w:ascii="仿宋" w:hAnsi="仿宋" w:eastAsia="仿宋" w:cs="仿宋"/>
          <w:b/>
          <w:i w:val="0"/>
          <w:color w:val="000000"/>
          <w:spacing w:val="0"/>
          <w:sz w:val="32"/>
          <w:szCs w:val="32"/>
        </w:rPr>
        <w:t>）一般公共预算财政拨款基本支出决算情况说明</w:t>
      </w:r>
    </w:p>
    <w:p>
      <w:pPr>
        <w:pStyle w:val="7"/>
        <w:widowControl/>
        <w:wordWrap/>
        <w:adjustRightInd/>
        <w:snapToGrid/>
        <w:spacing w:before="0" w:beforeAutospacing="0" w:after="0" w:afterAutospacing="0" w:line="312" w:lineRule="auto"/>
        <w:ind w:left="-210" w:leftChars="-100" w:right="-210" w:rightChars="-100" w:firstLine="640" w:firstLineChars="20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rPr>
        <w:t>本部门2019年度一般公共财政拨款基本支出</w:t>
      </w:r>
      <w:r>
        <w:rPr>
          <w:rFonts w:hint="eastAsia" w:ascii="仿宋" w:hAnsi="仿宋" w:eastAsia="仿宋" w:cs="仿宋"/>
          <w:i w:val="0"/>
          <w:color w:val="000000"/>
          <w:spacing w:val="0"/>
          <w:sz w:val="32"/>
          <w:szCs w:val="32"/>
          <w:lang w:val="en-US" w:eastAsia="zh-CN"/>
        </w:rPr>
        <w:t>1475981.36</w:t>
      </w:r>
      <w:r>
        <w:rPr>
          <w:rFonts w:hint="eastAsia" w:ascii="仿宋" w:hAnsi="仿宋" w:eastAsia="仿宋" w:cs="仿宋"/>
          <w:i w:val="0"/>
          <w:color w:val="000000"/>
          <w:spacing w:val="0"/>
          <w:sz w:val="32"/>
          <w:szCs w:val="32"/>
        </w:rPr>
        <w:t>元。其中：人员经费</w:t>
      </w:r>
      <w:r>
        <w:rPr>
          <w:rFonts w:hint="eastAsia" w:ascii="仿宋" w:hAnsi="仿宋" w:eastAsia="仿宋" w:cs="仿宋"/>
          <w:i w:val="0"/>
          <w:color w:val="000000"/>
          <w:spacing w:val="0"/>
          <w:sz w:val="32"/>
          <w:szCs w:val="32"/>
          <w:lang w:val="en-US" w:eastAsia="zh-CN"/>
        </w:rPr>
        <w:t>828017.61</w:t>
      </w:r>
      <w:r>
        <w:rPr>
          <w:rFonts w:hint="eastAsia" w:ascii="仿宋" w:hAnsi="仿宋" w:eastAsia="仿宋" w:cs="仿宋"/>
          <w:i w:val="0"/>
          <w:color w:val="000000"/>
          <w:spacing w:val="0"/>
          <w:sz w:val="32"/>
          <w:szCs w:val="32"/>
        </w:rPr>
        <w:t>元。人员经费用途主要包括基本工资、津贴补贴、奖金、社会保障缴费等。日常公用经费支出</w:t>
      </w:r>
      <w:r>
        <w:rPr>
          <w:rFonts w:hint="eastAsia" w:ascii="仿宋" w:hAnsi="仿宋" w:eastAsia="仿宋" w:cs="仿宋"/>
          <w:i w:val="0"/>
          <w:color w:val="000000"/>
          <w:spacing w:val="0"/>
          <w:sz w:val="32"/>
          <w:szCs w:val="32"/>
          <w:lang w:val="en-US" w:eastAsia="zh-CN"/>
        </w:rPr>
        <w:t>647963.75元。</w:t>
      </w:r>
    </w:p>
    <w:p>
      <w:pPr>
        <w:pStyle w:val="7"/>
        <w:widowControl/>
        <w:wordWrap/>
        <w:adjustRightInd/>
        <w:snapToGrid/>
        <w:spacing w:before="0" w:beforeAutospacing="0" w:after="0" w:afterAutospacing="0" w:line="312" w:lineRule="auto"/>
        <w:ind w:left="-210" w:leftChars="-100" w:right="-210" w:rightChars="-100" w:firstLine="420"/>
        <w:jc w:val="both"/>
        <w:textAlignment w:val="auto"/>
        <w:rPr>
          <w:rFonts w:hint="eastAsia" w:ascii="宋体" w:hAnsi="宋体" w:eastAsia="宋体" w:cs="宋体"/>
          <w:b/>
          <w:bCs/>
          <w:sz w:val="32"/>
          <w:szCs w:val="32"/>
        </w:rPr>
      </w:pPr>
      <w:r>
        <w:rPr>
          <w:rFonts w:hint="eastAsia" w:ascii="宋体" w:hAnsi="宋体" w:eastAsia="宋体" w:cs="宋体"/>
          <w:b/>
          <w:bCs/>
          <w:i w:val="0"/>
          <w:color w:val="000000"/>
          <w:spacing w:val="0"/>
          <w:sz w:val="32"/>
          <w:szCs w:val="32"/>
        </w:rPr>
        <w:t>四、“三公”经费情况说明</w:t>
      </w:r>
    </w:p>
    <w:p>
      <w:pPr>
        <w:pStyle w:val="7"/>
        <w:widowControl/>
        <w:wordWrap/>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rPr>
        <w:t>2019年度本部门无“三公”经费支出。</w:t>
      </w:r>
    </w:p>
    <w:p>
      <w:pPr>
        <w:pStyle w:val="7"/>
        <w:widowControl/>
        <w:wordWrap/>
        <w:adjustRightInd/>
        <w:snapToGrid/>
        <w:spacing w:before="0" w:beforeAutospacing="0" w:after="0" w:afterAutospacing="0" w:line="312" w:lineRule="auto"/>
        <w:ind w:left="-210" w:leftChars="-100" w:right="-210" w:rightChars="-100" w:firstLine="420"/>
        <w:jc w:val="both"/>
        <w:textAlignment w:val="auto"/>
        <w:rPr>
          <w:rFonts w:hint="eastAsia" w:ascii="宋体" w:hAnsi="宋体" w:eastAsia="宋体" w:cs="宋体"/>
          <w:b/>
          <w:bCs/>
          <w:sz w:val="32"/>
          <w:szCs w:val="32"/>
        </w:rPr>
      </w:pPr>
      <w:r>
        <w:rPr>
          <w:rFonts w:hint="eastAsia" w:ascii="宋体" w:hAnsi="宋体" w:eastAsia="宋体" w:cs="宋体"/>
          <w:b/>
          <w:bCs/>
          <w:i w:val="0"/>
          <w:color w:val="000000"/>
          <w:spacing w:val="0"/>
          <w:sz w:val="32"/>
          <w:szCs w:val="32"/>
        </w:rPr>
        <w:t>五、其他需要说明的事项</w:t>
      </w:r>
    </w:p>
    <w:p>
      <w:pPr>
        <w:pStyle w:val="7"/>
        <w:widowControl/>
        <w:wordWrap/>
        <w:adjustRightInd/>
        <w:snapToGrid/>
        <w:spacing w:before="0" w:beforeAutospacing="0" w:after="0" w:afterAutospacing="0" w:line="620" w:lineRule="atLeast"/>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rPr>
        <w:t>2019年本部门无其他说明事项</w:t>
      </w:r>
    </w:p>
    <w:p>
      <w:pPr>
        <w:pStyle w:val="7"/>
        <w:widowControl/>
        <w:wordWrap/>
        <w:adjustRightInd/>
        <w:snapToGrid/>
        <w:spacing w:before="0" w:beforeAutospacing="0" w:after="0" w:afterAutospacing="0" w:line="312" w:lineRule="auto"/>
        <w:ind w:left="-210" w:leftChars="-100" w:right="-210" w:rightChars="-100" w:firstLine="420"/>
        <w:jc w:val="both"/>
        <w:textAlignment w:val="auto"/>
        <w:rPr>
          <w:rFonts w:hint="eastAsia" w:ascii="宋体" w:hAnsi="宋体" w:eastAsia="宋体" w:cs="宋体"/>
          <w:b/>
          <w:bCs/>
          <w:sz w:val="32"/>
          <w:szCs w:val="32"/>
        </w:rPr>
      </w:pPr>
      <w:r>
        <w:rPr>
          <w:rFonts w:hint="eastAsia" w:ascii="宋体" w:hAnsi="宋体" w:eastAsia="宋体" w:cs="宋体"/>
          <w:b/>
          <w:bCs/>
          <w:i w:val="0"/>
          <w:color w:val="000000"/>
          <w:spacing w:val="0"/>
          <w:sz w:val="32"/>
          <w:szCs w:val="32"/>
        </w:rPr>
        <w:t>六、专业名词解释。</w:t>
      </w:r>
    </w:p>
    <w:p>
      <w:pPr>
        <w:pStyle w:val="7"/>
        <w:widowControl/>
        <w:wordWrap/>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rPr>
        <w:t>（一）财政拨款收入：指本年度从本级财政部门取得的财政拨款，包括一般公共预算财政拨款和政府性基金预算财政拨款。</w:t>
      </w:r>
    </w:p>
    <w:p>
      <w:pPr>
        <w:pStyle w:val="7"/>
        <w:widowControl/>
        <w:wordWrap/>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rPr>
        <w:t>（二）事业收入：指事业单位开展专业业务活动及其辅助活动取得的收入；事业单位收到的财政专户实际核拨的教育收费等资金在此反映。</w:t>
      </w:r>
    </w:p>
    <w:p>
      <w:pPr>
        <w:pStyle w:val="7"/>
        <w:widowControl/>
        <w:wordWrap/>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rPr>
        <w:t>（三）经营收入：指事业单位在专业业务活动及其辅助活动之外开展非独立核算经营活动取得的收入。</w:t>
      </w:r>
    </w:p>
    <w:p>
      <w:pPr>
        <w:pStyle w:val="7"/>
        <w:widowControl/>
        <w:wordWrap/>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rPr>
        <w:t>（四）其他收入：指单位取得的除“财政拨款收入”、“事业收入”、“经营收入”等以外的收入，包括未纳入财政预算或财政专户管理的投资收益、银行存款利息收入、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pStyle w:val="7"/>
        <w:widowControl/>
        <w:wordWrap/>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rPr>
        <w:t>（五）用事业基金弥补收支差额：指事业单位在当年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pStyle w:val="7"/>
        <w:widowControl/>
        <w:wordWrap/>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rPr>
        <w:t>（六）年初结转和结余：指单位上年结转本年使用的基本支出结转、项目支出结转和结余、经营结余。不包括事业单位净资产项下的事业基金和专用基金。</w:t>
      </w:r>
    </w:p>
    <w:p>
      <w:pPr>
        <w:pStyle w:val="7"/>
        <w:widowControl/>
        <w:wordWrap/>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7"/>
        <w:widowControl/>
        <w:wordWrap/>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rPr>
        <w:t>（八）年末结转和结余：指单位结转下年的基本支出结转、项目支出结转和结余、经营结余。不包括事业单位净资产项下的事业基金和专用基金。</w:t>
      </w:r>
    </w:p>
    <w:p>
      <w:pPr>
        <w:pStyle w:val="7"/>
        <w:widowControl/>
        <w:wordWrap/>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widowControl/>
        <w:wordWrap/>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rPr>
        <w:t>（十）项目支出：指在基本支出之外为完成特定行政任务和事业发展目标所发生的支出。</w:t>
      </w:r>
    </w:p>
    <w:p>
      <w:pPr>
        <w:pStyle w:val="7"/>
        <w:widowControl/>
        <w:wordWrap/>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rPr>
        <w:t>（十一）经营支出：指事业单位在专业业务活动及其辅助活动之外开展非独立核算经营活动发生的支出。</w:t>
      </w:r>
    </w:p>
    <w:p>
      <w:pPr>
        <w:pStyle w:val="7"/>
        <w:widowControl/>
        <w:wordWrap/>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rPr>
        <w:t>（十二）“三公”经费：指用一般公共预算财政拨款安排的因公出国（境）费、公务用车购置及运行维护费、公务接待费。其中，因公出国（境）费反映单位公务出国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护费反映单位按规定保留的公务用车燃料费、维修费、过路过桥费、保险费、安全奖励费用等支出；公务接待费反映单位按规定开支的各类公务接待（含外宾接待）支出。</w:t>
      </w:r>
    </w:p>
    <w:p>
      <w:pPr>
        <w:pStyle w:val="7"/>
        <w:widowControl/>
        <w:wordWrap/>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widowControl/>
        <w:wordWrap/>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rPr>
        <w:t>（十四）工资福利支出（支出经济分类科目类级）：反映单位开支的在职职工和编制外长期聘用人员的各类劳动报酬，以及为上述人员缴纳的各项社会保险费等。</w:t>
      </w:r>
    </w:p>
    <w:p>
      <w:pPr>
        <w:pStyle w:val="7"/>
        <w:widowControl/>
        <w:wordWrap/>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rPr>
        <w:t>（十五）商品和服务支出（支出经济分类科目类级）：反映单位购买商品和服务的支出（不包括用于购置固定资产的支出、战略性和应急储备支出）。</w:t>
      </w:r>
    </w:p>
    <w:p>
      <w:pPr>
        <w:pStyle w:val="7"/>
        <w:widowControl/>
        <w:wordWrap/>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rPr>
        <w:t>（十六）对个人和家庭的补助（支出经济分类科目类级）：反映用于对个人和家庭的补助支出。</w:t>
      </w:r>
    </w:p>
    <w:p>
      <w:pPr>
        <w:pStyle w:val="7"/>
        <w:widowControl/>
        <w:wordWrap/>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7"/>
        <w:widowControl/>
        <w:wordWrap/>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rPr>
        <w:t>注：以上为常见专业名词解释目录，仅供参考，部门应根据实际情况进行解释和增减。比如可将类级功能科目和经济科目细化解释到项级。</w:t>
      </w:r>
    </w:p>
    <w:p>
      <w:pPr>
        <w:wordWrap/>
        <w:adjustRightInd/>
        <w:snapToGrid/>
        <w:ind w:left="-210" w:leftChars="-100" w:right="-210" w:rightChars="-100" w:firstLine="5440" w:firstLineChars="1700"/>
        <w:textAlignment w:val="auto"/>
        <w:rPr>
          <w:rFonts w:hint="eastAsia" w:ascii="仿宋" w:hAnsi="仿宋" w:eastAsia="仿宋" w:cs="仿宋"/>
          <w:sz w:val="32"/>
          <w:szCs w:val="32"/>
          <w:lang w:val="en-US" w:eastAsia="zh-CN"/>
        </w:rPr>
      </w:pPr>
    </w:p>
    <w:p>
      <w:pPr>
        <w:wordWrap/>
        <w:adjustRightInd/>
        <w:snapToGrid/>
        <w:ind w:left="-210" w:leftChars="-100" w:right="-210" w:rightChars="-100" w:firstLine="5440" w:firstLineChars="1700"/>
        <w:textAlignment w:val="auto"/>
        <w:rPr>
          <w:rFonts w:hint="eastAsia" w:ascii="仿宋" w:hAnsi="仿宋" w:eastAsia="仿宋" w:cs="仿宋"/>
          <w:sz w:val="32"/>
          <w:szCs w:val="32"/>
          <w:lang w:val="en-US" w:eastAsia="zh-CN"/>
        </w:rPr>
      </w:pPr>
    </w:p>
    <w:p>
      <w:pPr>
        <w:wordWrap/>
        <w:adjustRightInd/>
        <w:snapToGrid/>
        <w:ind w:left="-210" w:leftChars="-100" w:right="-210" w:rightChars="-100" w:firstLine="5440" w:firstLineChars="1700"/>
        <w:textAlignment w:val="auto"/>
        <w:rPr>
          <w:rFonts w:hint="eastAsia" w:ascii="仿宋" w:hAnsi="仿宋" w:eastAsia="仿宋" w:cs="仿宋"/>
          <w:sz w:val="32"/>
          <w:szCs w:val="32"/>
          <w:lang w:val="en-US" w:eastAsia="zh-CN"/>
        </w:rPr>
      </w:pPr>
    </w:p>
    <w:p>
      <w:pPr>
        <w:wordWrap/>
        <w:adjustRightInd/>
        <w:snapToGrid/>
        <w:ind w:left="-210" w:leftChars="-100" w:right="-210" w:rightChars="-100" w:firstLine="5440" w:firstLineChars="1700"/>
        <w:textAlignment w:val="auto"/>
        <w:rPr>
          <w:rFonts w:hint="eastAsia" w:ascii="仿宋" w:hAnsi="仿宋" w:eastAsia="仿宋" w:cs="仿宋"/>
          <w:sz w:val="32"/>
          <w:szCs w:val="32"/>
          <w:lang w:val="en-US" w:eastAsia="zh-CN"/>
        </w:rPr>
      </w:pPr>
    </w:p>
    <w:p>
      <w:pPr>
        <w:wordWrap/>
        <w:adjustRightInd/>
        <w:snapToGrid/>
        <w:ind w:left="-210" w:leftChars="-100" w:right="-210" w:rightChars="-100" w:firstLine="5440" w:firstLineChars="17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积石山县信访局</w:t>
      </w:r>
    </w:p>
    <w:p>
      <w:pPr>
        <w:wordWrap/>
        <w:adjustRightInd/>
        <w:snapToGrid/>
        <w:ind w:left="-210" w:leftChars="-100" w:right="-210" w:rightChars="-100" w:firstLine="5440" w:firstLineChars="17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2020年3月3日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A0277"/>
    <w:rsid w:val="00006573"/>
    <w:rsid w:val="00013DD5"/>
    <w:rsid w:val="00160D54"/>
    <w:rsid w:val="00162859"/>
    <w:rsid w:val="002474B2"/>
    <w:rsid w:val="00285944"/>
    <w:rsid w:val="002C7A51"/>
    <w:rsid w:val="003D006B"/>
    <w:rsid w:val="00412694"/>
    <w:rsid w:val="004576C5"/>
    <w:rsid w:val="00501A13"/>
    <w:rsid w:val="0057204F"/>
    <w:rsid w:val="00573875"/>
    <w:rsid w:val="007354C9"/>
    <w:rsid w:val="007812B2"/>
    <w:rsid w:val="007F321F"/>
    <w:rsid w:val="00891C71"/>
    <w:rsid w:val="009622D5"/>
    <w:rsid w:val="00977600"/>
    <w:rsid w:val="00A57995"/>
    <w:rsid w:val="00A64FB4"/>
    <w:rsid w:val="00A70268"/>
    <w:rsid w:val="00B373E2"/>
    <w:rsid w:val="00B758A5"/>
    <w:rsid w:val="00BA0F2B"/>
    <w:rsid w:val="00C968B3"/>
    <w:rsid w:val="00D340D5"/>
    <w:rsid w:val="00DA0277"/>
    <w:rsid w:val="00E14C38"/>
    <w:rsid w:val="00E577A9"/>
    <w:rsid w:val="00E731DC"/>
    <w:rsid w:val="00EE2797"/>
    <w:rsid w:val="00EF32B9"/>
    <w:rsid w:val="00FD2E20"/>
    <w:rsid w:val="0231198B"/>
    <w:rsid w:val="027F6574"/>
    <w:rsid w:val="060D4C32"/>
    <w:rsid w:val="0C6C7EC2"/>
    <w:rsid w:val="1D1D0612"/>
    <w:rsid w:val="1E554138"/>
    <w:rsid w:val="1FC1008E"/>
    <w:rsid w:val="2C28651B"/>
    <w:rsid w:val="2C8777CA"/>
    <w:rsid w:val="316F3963"/>
    <w:rsid w:val="361F4E52"/>
    <w:rsid w:val="40792673"/>
    <w:rsid w:val="61D81110"/>
    <w:rsid w:val="69F651B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2">
    <w:name w:val="Body Text"/>
    <w:basedOn w:val="1"/>
    <w:link w:val="16"/>
    <w:qFormat/>
    <w:uiPriority w:val="0"/>
  </w:style>
  <w:style w:type="paragraph" w:styleId="3">
    <w:name w:val="Date"/>
    <w:basedOn w:val="1"/>
    <w:next w:val="1"/>
    <w:link w:val="14"/>
    <w:qFormat/>
    <w:uiPriority w:val="0"/>
    <w:pPr>
      <w:ind w:left="100" w:leftChars="2500"/>
    </w:pPr>
  </w:style>
  <w:style w:type="paragraph" w:styleId="4">
    <w:name w:val="Balloon Text"/>
    <w:basedOn w:val="1"/>
    <w:link w:val="18"/>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rPr>
  </w:style>
  <w:style w:type="paragraph" w:styleId="6">
    <w:name w:val="header"/>
    <w:basedOn w:val="1"/>
    <w:link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character" w:styleId="9">
    <w:name w:val="FollowedHyperlink"/>
    <w:basedOn w:val="8"/>
    <w:qFormat/>
    <w:uiPriority w:val="0"/>
    <w:rPr>
      <w:color w:val="800080"/>
      <w:u w:val="single"/>
    </w:rPr>
  </w:style>
  <w:style w:type="character" w:styleId="10">
    <w:name w:val="Hyperlink"/>
    <w:basedOn w:val="8"/>
    <w:qFormat/>
    <w:uiPriority w:val="0"/>
    <w:rPr>
      <w:color w:val="0000FF"/>
      <w:u w:val="single"/>
    </w:rPr>
  </w:style>
  <w:style w:type="character" w:customStyle="1" w:styleId="12">
    <w:name w:val="页脚 Char"/>
    <w:basedOn w:val="8"/>
    <w:link w:val="5"/>
    <w:qFormat/>
    <w:uiPriority w:val="0"/>
    <w:rPr>
      <w:sz w:val="18"/>
      <w:szCs w:val="18"/>
    </w:rPr>
  </w:style>
  <w:style w:type="character" w:customStyle="1" w:styleId="13">
    <w:name w:val="日期 Char"/>
    <w:basedOn w:val="8"/>
    <w:qFormat/>
    <w:uiPriority w:val="0"/>
    <w:rPr/>
  </w:style>
  <w:style w:type="character" w:customStyle="1" w:styleId="14">
    <w:name w:val="日期 Char1"/>
    <w:basedOn w:val="8"/>
    <w:link w:val="3"/>
    <w:qFormat/>
    <w:uiPriority w:val="0"/>
    <w:rPr/>
  </w:style>
  <w:style w:type="character" w:customStyle="1" w:styleId="15">
    <w:name w:val="页眉 Char"/>
    <w:basedOn w:val="8"/>
    <w:link w:val="6"/>
    <w:qFormat/>
    <w:uiPriority w:val="0"/>
    <w:rPr>
      <w:sz w:val="18"/>
      <w:szCs w:val="18"/>
    </w:rPr>
  </w:style>
  <w:style w:type="character" w:customStyle="1" w:styleId="16">
    <w:name w:val="正文文本 Char1"/>
    <w:basedOn w:val="8"/>
    <w:link w:val="2"/>
    <w:qFormat/>
    <w:uiPriority w:val="0"/>
    <w:rPr>
      <w:rFonts w:hint="eastAsia" w:ascii="宋体" w:hAnsi="宋体" w:eastAsia="仿宋_GB2312" w:cs="Times New Roman"/>
      <w:spacing w:val="-2"/>
      <w:sz w:val="32"/>
      <w:szCs w:val="24"/>
    </w:rPr>
  </w:style>
  <w:style w:type="character" w:customStyle="1" w:styleId="17">
    <w:name w:val="正文文本 Char"/>
    <w:basedOn w:val="8"/>
    <w:qFormat/>
    <w:uiPriority w:val="0"/>
    <w:rPr/>
  </w:style>
  <w:style w:type="character" w:customStyle="1" w:styleId="18">
    <w:name w:val="批注框文本 Char"/>
    <w:basedOn w:val="8"/>
    <w:link w:val="4"/>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415</Words>
  <Characters>2369</Characters>
  <Lines>19</Lines>
  <Paragraphs>5</Paragraphs>
  <TotalTime>0</TotalTime>
  <ScaleCrop>false</ScaleCrop>
  <LinksUpToDate>false</LinksUpToDate>
  <CharactersWithSpaces>0</CharactersWithSpaces>
  <Application>WPS Office 个人版_9.1.0.4883_{F1E327BC-269C-435d-A152-05C5408002CA}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2020-10-16T07:01:03Z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2052-9.1.0.4883</vt:lpwstr>
  </property>
</Properties>
</file>