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甘肃省临夏州积石山县安集乡政府</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积石山县医保中心成立于2005年，前身为县医疗保险局，2018年12月底以前主要开展城镇职工医疗保险工作，2018年12月从县卫生局将新型农村合作医疗（新农合）工作划入到县医保中心，划入后改称为城乡居民基本医疗保险，主要职责和开展的主要工作如下：</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1.医保扶贫各项重点任务；（医保局承担参保资助）</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2.干部职工医疗保险的参保、报销、病历审核等；</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3.城镇居民和农村居民基本医疗保险的收缴；</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4.各定点医疗机构城镇职工、城乡居民基本医疗保险基金报销的结算清算；（医保局承担医疗救助）</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5.职工特慢病和城乡居民特慢病以及城乡居民“高血压、糖尿病（两病）”的办理和报销清算；</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6.对医保基金进行年度预算和决算以及对预决算的管理；</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7.对各定点医疗机构对医保基金使用情况的监督管理；</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8.对各定点医疗机构服务协议书的签订和年度限额的制定；</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9.对定点医疗机构和定点药店纳入及退出管理；</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10.对甘肃省城乡居民医保管理系统（金保网）和城镇职工医保管理系统（地纬系统）的使用管理；</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11.对医保扶贫、医保参保及基金运行等各类报表的系统上报；</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12.政务服务大厅窗口办理转诊转院、异地就医、政策资讯等业务；</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13.对大病保险公司开展大病保险业务的监督管理；</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14.医保政策的培训及宣传。</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医保中心现设有综合办公室、稽核办公室、城镇职工股、城乡居民股、财务股及政务大厅窗口等6个股室，共有干部职工28名。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度收入总计2559667.82</w:t>
      </w:r>
      <w:r>
        <w:rPr>
          <w:rFonts w:hint="eastAsia" w:ascii="仿宋_GB2312" w:eastAsia="仿宋_GB2312"/>
          <w:sz w:val="30"/>
          <w:szCs w:val="30"/>
          <w:lang w:eastAsia="zh-CN"/>
        </w:rPr>
        <w:t>元</w:t>
      </w:r>
      <w:r>
        <w:rPr>
          <w:rFonts w:hint="eastAsia" w:ascii="仿宋_GB2312" w:eastAsia="仿宋_GB2312"/>
          <w:sz w:val="30"/>
          <w:szCs w:val="30"/>
        </w:rPr>
        <w:t>，支出总计2588246.2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384856.82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13.07</w:t>
      </w:r>
      <w:r>
        <w:rPr>
          <w:rFonts w:hint="eastAsia" w:ascii="仿宋_GB2312" w:eastAsia="仿宋_GB2312"/>
          <w:sz w:val="30"/>
          <w:szCs w:val="30"/>
        </w:rPr>
        <w:t>%，支出</w:t>
      </w:r>
      <w:r>
        <w:rPr>
          <w:rFonts w:hint="eastAsia" w:ascii="仿宋_GB2312" w:eastAsia="仿宋_GB2312"/>
          <w:sz w:val="30"/>
          <w:szCs w:val="30"/>
          <w:lang w:eastAsia="zh-CN"/>
        </w:rPr>
        <w:t>减少213533.21元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7.62</w:t>
      </w:r>
      <w:r>
        <w:rPr>
          <w:rFonts w:hint="eastAsia" w:ascii="仿宋_GB2312" w:eastAsia="仿宋_GB2312"/>
          <w:sz w:val="30"/>
          <w:szCs w:val="30"/>
        </w:rPr>
        <w:t>%。主要原因是</w:t>
      </w:r>
      <w:r>
        <w:rPr>
          <w:rFonts w:hint="eastAsia" w:ascii="仿宋_GB2312" w:eastAsia="仿宋_GB2312"/>
          <w:sz w:val="30"/>
          <w:szCs w:val="30"/>
          <w:lang w:eastAsia="zh-CN"/>
        </w:rPr>
        <w:t>财政拨款收入减少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度收入合计2559667.82</w:t>
      </w:r>
      <w:r>
        <w:rPr>
          <w:rFonts w:hint="eastAsia" w:ascii="仿宋_GB2312" w:eastAsia="仿宋_GB2312"/>
          <w:sz w:val="30"/>
          <w:szCs w:val="30"/>
          <w:lang w:eastAsia="zh-CN"/>
        </w:rPr>
        <w:t>元</w:t>
      </w:r>
      <w:r>
        <w:rPr>
          <w:rFonts w:hint="eastAsia" w:ascii="仿宋_GB2312" w:eastAsia="仿宋_GB2312"/>
          <w:sz w:val="30"/>
          <w:szCs w:val="30"/>
        </w:rPr>
        <w:t>，其中：财政拨款收入2549667.82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99.6</w:t>
      </w:r>
      <w:r>
        <w:rPr>
          <w:rFonts w:hint="eastAsia" w:ascii="仿宋_GB2312" w:eastAsia="仿宋_GB2312"/>
          <w:sz w:val="30"/>
          <w:szCs w:val="30"/>
        </w:rPr>
        <w:t>%；其他收入10000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0.4</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度支出合计2588246.2</w:t>
      </w:r>
      <w:r>
        <w:rPr>
          <w:rFonts w:hint="eastAsia" w:ascii="仿宋_GB2312" w:eastAsia="仿宋_GB2312"/>
          <w:sz w:val="30"/>
          <w:szCs w:val="30"/>
          <w:lang w:eastAsia="zh-CN"/>
        </w:rPr>
        <w:t>元</w:t>
      </w:r>
      <w:r>
        <w:rPr>
          <w:rFonts w:hint="eastAsia" w:ascii="仿宋_GB2312" w:eastAsia="仿宋_GB2312"/>
          <w:sz w:val="30"/>
          <w:szCs w:val="30"/>
        </w:rPr>
        <w:t>，其中：基本支出2588246.2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度年末结转和结余130796.37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28578.38</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度财政拨款收入2549667.82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减少111438.82元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4.18</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eastAsia="仿宋_GB2312"/>
          <w:sz w:val="30"/>
          <w:szCs w:val="30"/>
        </w:rPr>
        <w:t>主要原因是</w:t>
      </w:r>
      <w:r>
        <w:rPr>
          <w:rFonts w:hint="eastAsia" w:ascii="仿宋_GB2312" w:eastAsia="仿宋_GB2312"/>
          <w:sz w:val="30"/>
          <w:szCs w:val="30"/>
          <w:lang w:val="en-US" w:eastAsia="zh-CN"/>
        </w:rPr>
        <w:t>2019年财政拨款略有减少。</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度财政拨款支出2578246.2</w:t>
      </w:r>
      <w:r>
        <w:rPr>
          <w:rFonts w:hint="eastAsia" w:ascii="仿宋_GB2312" w:eastAsia="仿宋_GB2312"/>
          <w:sz w:val="30"/>
          <w:szCs w:val="30"/>
          <w:lang w:eastAsia="zh-CN"/>
        </w:rPr>
        <w:t>元</w:t>
      </w:r>
      <w:r>
        <w:rPr>
          <w:rFonts w:hint="eastAsia" w:ascii="仿宋_GB2312" w:eastAsia="仿宋_GB2312"/>
          <w:sz w:val="30"/>
          <w:szCs w:val="30"/>
        </w:rPr>
        <w:t>，较上年决算数支出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59884.79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2.37</w:t>
      </w:r>
      <w:r>
        <w:rPr>
          <w:rFonts w:hint="eastAsia" w:ascii="仿宋_GB2312" w:eastAsia="仿宋_GB2312"/>
          <w:sz w:val="30"/>
          <w:szCs w:val="30"/>
        </w:rPr>
        <w:t>%</w:t>
      </w:r>
      <w:r>
        <w:rPr>
          <w:rFonts w:hint="eastAsia" w:ascii="仿宋_GB2312" w:eastAsia="仿宋_GB2312"/>
          <w:sz w:val="30"/>
          <w:szCs w:val="30"/>
          <w:lang w:eastAsia="zh-CN"/>
        </w:rPr>
        <w:t>，变动幅度不大。</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度财政拨款支出主要用于以下方面：一般公共服务支出315250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12.18</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4750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部分公共服务支出通过其他项目专项资金解决</w:t>
      </w:r>
      <w:r>
        <w:rPr>
          <w:rFonts w:hint="eastAsia" w:ascii="仿宋_GB2312" w:eastAsia="仿宋_GB2312"/>
          <w:color w:val="000000" w:themeColor="text1"/>
          <w:sz w:val="30"/>
          <w:szCs w:val="30"/>
          <w14:textFill>
            <w14:solidFill>
              <w14:schemeClr w14:val="tx1"/>
            </w14:solidFill>
          </w14:textFill>
        </w:rPr>
        <w:t>；社会保障与就业支出1897596.2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73.31</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2403.8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卫生健康支出375400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14.5</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104600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度一般公共财政拨款基本支出2578246.2</w:t>
      </w:r>
      <w:r>
        <w:rPr>
          <w:rFonts w:hint="eastAsia" w:ascii="仿宋_GB2312" w:eastAsia="仿宋_GB2312"/>
          <w:sz w:val="30"/>
          <w:szCs w:val="30"/>
          <w:lang w:eastAsia="zh-CN"/>
        </w:rPr>
        <w:t>元</w:t>
      </w:r>
      <w:r>
        <w:rPr>
          <w:rFonts w:hint="eastAsia" w:ascii="仿宋_GB2312" w:eastAsia="仿宋_GB2312"/>
          <w:sz w:val="30"/>
          <w:szCs w:val="30"/>
        </w:rPr>
        <w:t>。其中：人员经费1528160.13</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rPr>
        <w:t>213533.21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人员变动</w:t>
      </w:r>
      <w:r>
        <w:rPr>
          <w:rFonts w:hint="eastAsia" w:ascii="仿宋_GB2312" w:eastAsia="仿宋_GB2312"/>
          <w:sz w:val="30"/>
          <w:szCs w:val="30"/>
        </w:rPr>
        <w:t>。</w:t>
      </w:r>
      <w:r>
        <w:rPr>
          <w:rFonts w:hint="eastAsia" w:ascii="仿宋_GB2312" w:eastAsia="仿宋_GB2312"/>
          <w:color w:val="auto"/>
          <w:sz w:val="30"/>
          <w:szCs w:val="30"/>
        </w:rPr>
        <w:t>人员经费用途主要包括基本工资、津贴补贴、奖金、离休费、退休费、抚恤金、生活补助</w:t>
      </w:r>
      <w:r>
        <w:rPr>
          <w:rFonts w:hint="eastAsia" w:ascii="仿宋_GB2312" w:eastAsia="仿宋_GB2312"/>
          <w:sz w:val="30"/>
          <w:szCs w:val="30"/>
        </w:rPr>
        <w:t>。公用经费744140.77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315945.3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实际支出增加</w:t>
      </w:r>
      <w:r>
        <w:rPr>
          <w:rFonts w:hint="eastAsia" w:ascii="仿宋_GB2312" w:eastAsia="仿宋_GB2312"/>
          <w:sz w:val="30"/>
          <w:szCs w:val="30"/>
        </w:rPr>
        <w:t>，</w:t>
      </w:r>
      <w:r>
        <w:rPr>
          <w:rFonts w:hint="eastAsia" w:ascii="仿宋_GB2312" w:eastAsia="仿宋_GB2312"/>
          <w:color w:val="auto"/>
          <w:sz w:val="30"/>
          <w:szCs w:val="30"/>
        </w:rPr>
        <w:t>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当年无出国预算，亦无出国费用产生,较上年支出数增加0元，主要原因是201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上年无公车购置费</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color w:val="auto"/>
          <w:sz w:val="30"/>
          <w:szCs w:val="30"/>
        </w:rPr>
        <w:t>工作所需车辆的燃料费、维修费、过桥过路费、保险费等</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主要原因是本单位公</w:t>
      </w:r>
      <w:r>
        <w:rPr>
          <w:rFonts w:hint="eastAsia" w:ascii="仿宋_GB2312" w:eastAsia="仿宋_GB2312"/>
          <w:sz w:val="30"/>
          <w:szCs w:val="30"/>
          <w:lang w:eastAsia="zh-CN"/>
        </w:rPr>
        <w:t>务“零接待”</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辆；国内公务接待0批次，0人，其中：国内外事接待0批次，0人；国（境）外公务接待0批次，0人。</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本部门机关运行经费支出744140.77</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机关运行经费主要用于开支办公费、公务车运行维护费、信息网络购置更新费等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增加305945.3元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41.11</w:t>
      </w:r>
      <w:r>
        <w:rPr>
          <w:rFonts w:hint="eastAsia" w:ascii="仿宋_GB2312" w:eastAsia="仿宋_GB2312"/>
          <w:sz w:val="30"/>
          <w:szCs w:val="30"/>
        </w:rPr>
        <w:t>%，主要原因是</w:t>
      </w:r>
      <w:r>
        <w:rPr>
          <w:rFonts w:hint="eastAsia" w:ascii="仿宋_GB2312" w:eastAsia="仿宋_GB2312"/>
          <w:sz w:val="30"/>
          <w:szCs w:val="30"/>
          <w:lang w:val="en-US" w:eastAsia="zh-CN"/>
        </w:rPr>
        <w:t>2019年相关开支增加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color w:val="auto"/>
          <w:sz w:val="30"/>
          <w:szCs w:val="30"/>
        </w:rPr>
        <w:t>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0" w:firstLineChars="200"/>
        <w:rPr>
          <w:rFonts w:hint="eastAsia" w:ascii="仿宋_GB2312" w:eastAsia="仿宋_GB2312"/>
          <w:sz w:val="30"/>
          <w:szCs w:val="30"/>
          <w:lang w:eastAsia="zh-CN"/>
        </w:rPr>
      </w:pP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w:t>
      </w:r>
      <w:r>
        <w:rPr>
          <w:rFonts w:hint="eastAsia" w:ascii="仿宋_GB2312" w:eastAsia="仿宋_GB2312"/>
          <w:sz w:val="30"/>
          <w:szCs w:val="30"/>
          <w:lang w:eastAsia="zh-CN"/>
        </w:rPr>
        <w:t>，因本部门为业务部门，不涉及项目支出，项目支出金额为</w:t>
      </w:r>
      <w:r>
        <w:rPr>
          <w:rFonts w:hint="eastAsia" w:ascii="仿宋_GB2312" w:eastAsia="仿宋_GB2312"/>
          <w:sz w:val="30"/>
          <w:szCs w:val="30"/>
          <w:lang w:val="en-US" w:eastAsia="zh-CN"/>
        </w:rPr>
        <w:t>0元，故不做项目绩效评价。</w:t>
      </w:r>
      <w:bookmarkStart w:id="0" w:name="_GoBack"/>
      <w:bookmarkEnd w:id="0"/>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G">
    <w:altName w:val="仿宋"/>
    <w:panose1 w:val="00000000000000000000"/>
    <w:charset w:val="00"/>
    <w:family w:val="auto"/>
    <w:pitch w:val="default"/>
    <w:sig w:usb0="00000000" w:usb1="00000000" w:usb2="00000000" w:usb3="00000000" w:csb0="00000000" w:csb1="00000000"/>
  </w:font>
  <w:font w:name="仿宋GB">
    <w:altName w:val="仿宋"/>
    <w:panose1 w:val="00000000000000000000"/>
    <w:charset w:val="00"/>
    <w:family w:val="auto"/>
    <w:pitch w:val="default"/>
    <w:sig w:usb0="00000000" w:usb1="00000000" w:usb2="00000000" w:usb3="00000000" w:csb0="00000000" w:csb1="00000000"/>
  </w:font>
  <w:font w:name="仿宋GB2">
    <w:altName w:val="仿宋"/>
    <w:panose1 w:val="00000000000000000000"/>
    <w:charset w:val="00"/>
    <w:family w:val="auto"/>
    <w:pitch w:val="default"/>
    <w:sig w:usb0="00000000" w:usb1="00000000" w:usb2="00000000" w:usb3="00000000" w:csb0="00000000" w:csb1="00000000"/>
  </w:font>
  <w:font w:name="仿宋GB23">
    <w:altName w:val="仿宋"/>
    <w:panose1 w:val="00000000000000000000"/>
    <w:charset w:val="00"/>
    <w:family w:val="auto"/>
    <w:pitch w:val="default"/>
    <w:sig w:usb0="00000000" w:usb1="00000000" w:usb2="00000000" w:usb3="00000000" w:csb0="00000000" w:csb1="00000000"/>
  </w:font>
  <w:font w:name="仿宋GB231">
    <w:altName w:val="仿宋"/>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8491804"/>
    <w:rsid w:val="0C566438"/>
    <w:rsid w:val="17542C27"/>
    <w:rsid w:val="18F1352C"/>
    <w:rsid w:val="19643582"/>
    <w:rsid w:val="1B943FD8"/>
    <w:rsid w:val="1DD64839"/>
    <w:rsid w:val="25BD3490"/>
    <w:rsid w:val="281D4733"/>
    <w:rsid w:val="281D5059"/>
    <w:rsid w:val="2AC80393"/>
    <w:rsid w:val="2EE67926"/>
    <w:rsid w:val="318870D1"/>
    <w:rsid w:val="33F0399D"/>
    <w:rsid w:val="35130FCB"/>
    <w:rsid w:val="35134017"/>
    <w:rsid w:val="36DE5132"/>
    <w:rsid w:val="3DD1410A"/>
    <w:rsid w:val="3EDE7988"/>
    <w:rsid w:val="428A4B59"/>
    <w:rsid w:val="4AFF5FFD"/>
    <w:rsid w:val="4CDE12E2"/>
    <w:rsid w:val="4D9B3D75"/>
    <w:rsid w:val="4E9E25D6"/>
    <w:rsid w:val="536422EE"/>
    <w:rsid w:val="5743316E"/>
    <w:rsid w:val="5B6E218B"/>
    <w:rsid w:val="5BF36344"/>
    <w:rsid w:val="5C5A2151"/>
    <w:rsid w:val="5F2727A8"/>
    <w:rsid w:val="5FAE1AF3"/>
    <w:rsid w:val="60DD3EC5"/>
    <w:rsid w:val="61FB4AF7"/>
    <w:rsid w:val="62960785"/>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61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2020-10-22T08:12:07Z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