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_GB2312" w:eastAsia="仿宋_GB2312"/>
          <w:sz w:val="30"/>
          <w:szCs w:val="30"/>
        </w:rPr>
      </w:pPr>
      <w:r>
        <w:rPr>
          <w:rFonts w:hint="eastAsia" w:ascii="方正小标宋简体" w:eastAsia="方正小标宋简体"/>
          <w:color w:val="000000" w:themeColor="text1"/>
          <w:sz w:val="36"/>
          <w:szCs w:val="36"/>
          <w:lang w:eastAsia="zh-CN"/>
          <w14:textFill>
            <w14:solidFill>
              <w14:schemeClr w14:val="tx1"/>
            </w14:solidFill>
          </w14:textFill>
        </w:rPr>
        <w:t>积石山县幼儿园</w:t>
      </w:r>
      <w:r>
        <w:rPr>
          <w:rFonts w:hint="eastAsia" w:ascii="方正小标宋简体" w:eastAsia="方正小标宋简体"/>
          <w:sz w:val="36"/>
          <w:szCs w:val="36"/>
          <w:lang w:eastAsia="zh-CN"/>
        </w:rPr>
        <w:t>201</w:t>
      </w:r>
      <w:r>
        <w:rPr>
          <w:rFonts w:hint="eastAsia" w:ascii="方正小标宋简体" w:eastAsia="方正小标宋简体"/>
          <w:sz w:val="36"/>
          <w:szCs w:val="36"/>
          <w:lang w:val="en-US" w:eastAsia="zh-CN"/>
        </w:rPr>
        <w:t>9</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负责积石山县县城及郊区的学前教育工作。</w:t>
      </w:r>
    </w:p>
    <w:p>
      <w:pPr>
        <w:ind w:firstLine="602" w:firstLineChars="200"/>
        <w:rPr>
          <w:rFonts w:hint="default" w:ascii="楷体_GB2312" w:eastAsia="楷体_GB2312"/>
          <w:b/>
          <w:sz w:val="30"/>
          <w:szCs w:val="30"/>
          <w:lang w:val="en-US" w:eastAsia="zh-CN"/>
        </w:rPr>
      </w:pPr>
      <w:r>
        <w:rPr>
          <w:rFonts w:hint="eastAsia" w:ascii="楷体_GB2312" w:eastAsia="楷体_GB2312"/>
          <w:b/>
          <w:sz w:val="30"/>
          <w:szCs w:val="30"/>
        </w:rPr>
        <w:t>（二）机构设置</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本单位为一所县城公办幼儿园。</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2018年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w:t>
      </w:r>
    </w:p>
    <w:p>
      <w:pPr>
        <w:ind w:firstLine="600" w:firstLineChars="200"/>
        <w:rPr>
          <w:rFonts w:ascii="仿宋_GB2312" w:eastAsia="仿宋_GB2312"/>
          <w:sz w:val="30"/>
          <w:szCs w:val="30"/>
        </w:rPr>
      </w:pPr>
      <w:r>
        <w:rPr>
          <w:rFonts w:hint="eastAsia" w:ascii="仿宋_GB2312" w:eastAsia="仿宋_GB2312"/>
          <w:sz w:val="30"/>
          <w:szCs w:val="30"/>
        </w:rPr>
        <w:t>表八：表政府性基金预算财政拨款收入支出决算表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w:t>
      </w:r>
      <w:r>
        <w:rPr>
          <w:rFonts w:hint="eastAsia" w:ascii="黑体" w:hAnsi="黑体" w:eastAsia="黑体"/>
          <w:sz w:val="30"/>
          <w:szCs w:val="30"/>
          <w:lang w:val="en-US" w:eastAsia="zh-CN"/>
        </w:rPr>
        <w:t>9</w:t>
      </w:r>
      <w:r>
        <w:rPr>
          <w:rFonts w:hint="eastAsia" w:ascii="黑体" w:hAnsi="黑体" w:eastAsia="黑体"/>
          <w:sz w:val="30"/>
          <w:szCs w:val="30"/>
          <w:lang w:eastAsia="zh-CN"/>
        </w:rPr>
        <w:t>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度收入总计</w:t>
      </w:r>
      <w:r>
        <w:rPr>
          <w:rFonts w:hint="eastAsia" w:ascii="仿宋_GB2312" w:eastAsia="仿宋_GB2312"/>
          <w:color w:val="000000" w:themeColor="text1"/>
          <w:sz w:val="30"/>
          <w:szCs w:val="30"/>
          <w:lang w:val="en-US" w:eastAsia="zh-CN"/>
          <w14:textFill>
            <w14:solidFill>
              <w14:schemeClr w14:val="tx1"/>
            </w14:solidFill>
          </w14:textFill>
        </w:rPr>
        <w:t>2749202.78</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color w:val="000000" w:themeColor="text1"/>
          <w:sz w:val="30"/>
          <w:szCs w:val="30"/>
          <w:lang w:val="en-US" w:eastAsia="zh-CN"/>
          <w14:textFill>
            <w14:solidFill>
              <w14:schemeClr w14:val="tx1"/>
            </w14:solidFill>
          </w14:textFill>
        </w:rPr>
        <w:t>2783407.03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sz w:val="30"/>
          <w:szCs w:val="30"/>
        </w:rPr>
        <w:t>。与201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919625.43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25%，</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885421.18</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31</w:t>
      </w:r>
      <w:r>
        <w:rPr>
          <w:rFonts w:hint="eastAsia" w:ascii="仿宋_GB2312" w:eastAsia="仿宋_GB2312"/>
          <w:sz w:val="30"/>
          <w:szCs w:val="30"/>
        </w:rPr>
        <w:t>%。主要原因是</w:t>
      </w:r>
      <w:r>
        <w:rPr>
          <w:rFonts w:hint="eastAsia" w:ascii="仿宋_GB2312" w:eastAsia="仿宋_GB2312"/>
          <w:sz w:val="30"/>
          <w:szCs w:val="30"/>
          <w:lang w:val="en-US" w:eastAsia="zh-CN"/>
        </w:rPr>
        <w:t>2018年补发科学发展观奖金。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度收入合计</w:t>
      </w:r>
      <w:r>
        <w:rPr>
          <w:rFonts w:hint="eastAsia" w:ascii="仿宋_GB2312" w:eastAsia="仿宋_GB2312"/>
          <w:color w:val="000000" w:themeColor="text1"/>
          <w:sz w:val="30"/>
          <w:szCs w:val="30"/>
          <w:lang w:val="en-US" w:eastAsia="zh-CN"/>
          <w14:textFill>
            <w14:solidFill>
              <w14:schemeClr w14:val="tx1"/>
            </w14:solidFill>
          </w14:textFill>
        </w:rPr>
        <w:t>2749202.78</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2749202.78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度支出合计</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2783407.03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度年末结转和结余</w:t>
      </w:r>
      <w:r>
        <w:rPr>
          <w:rFonts w:hint="eastAsia" w:ascii="仿宋_GB2312" w:eastAsia="仿宋_GB2312"/>
          <w:sz w:val="30"/>
          <w:szCs w:val="30"/>
          <w:lang w:val="en-US" w:eastAsia="zh-CN"/>
        </w:rPr>
        <w:t>3076.15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34204.25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color w:val="000000" w:themeColor="text1"/>
          <w:sz w:val="30"/>
          <w:szCs w:val="30"/>
          <w:lang w:eastAsia="zh-CN"/>
          <w14:textFill>
            <w14:solidFill>
              <w14:schemeClr w14:val="tx1"/>
            </w14:solidFill>
          </w14:textFill>
        </w:rPr>
        <w:t>支出增加。</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度财政拨款收入</w:t>
      </w:r>
      <w:r>
        <w:rPr>
          <w:rFonts w:hint="eastAsia" w:ascii="仿宋_GB2312" w:eastAsia="仿宋_GB2312"/>
          <w:sz w:val="30"/>
          <w:szCs w:val="30"/>
          <w:lang w:val="en-US" w:eastAsia="zh-CN"/>
        </w:rPr>
        <w:t>2749202.78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919625.43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25</w:t>
      </w:r>
      <w:r>
        <w:rPr>
          <w:rFonts w:hint="eastAsia" w:ascii="仿宋_GB2312" w:eastAsia="仿宋_GB2312"/>
          <w:sz w:val="30"/>
          <w:szCs w:val="30"/>
        </w:rPr>
        <w:t>%。主要原因是</w:t>
      </w:r>
      <w:r>
        <w:rPr>
          <w:rFonts w:hint="eastAsia" w:ascii="仿宋_GB2312" w:eastAsia="仿宋_GB2312"/>
          <w:color w:val="000000" w:themeColor="text1"/>
          <w:sz w:val="30"/>
          <w:szCs w:val="30"/>
          <w:lang w:eastAsia="zh-CN"/>
          <w14:textFill>
            <w14:solidFill>
              <w14:schemeClr w14:val="tx1"/>
            </w14:solidFill>
          </w14:textFill>
        </w:rPr>
        <w:t>办公经费减少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度财政拨款支出</w:t>
      </w:r>
      <w:r>
        <w:rPr>
          <w:rFonts w:hint="eastAsia" w:ascii="仿宋_GB2312" w:eastAsia="仿宋_GB2312"/>
          <w:sz w:val="30"/>
          <w:szCs w:val="30"/>
          <w:lang w:val="en-US" w:eastAsia="zh-CN"/>
        </w:rPr>
        <w:t>2783407.03</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885421.18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31</w:t>
      </w:r>
      <w:r>
        <w:rPr>
          <w:rFonts w:hint="eastAsia" w:ascii="仿宋_GB2312" w:eastAsia="仿宋_GB2312"/>
          <w:sz w:val="30"/>
          <w:szCs w:val="30"/>
        </w:rPr>
        <w:t>%</w:t>
      </w:r>
      <w:r>
        <w:rPr>
          <w:rFonts w:hint="eastAsia" w:ascii="仿宋_GB2312" w:eastAsia="仿宋_GB2312"/>
          <w:sz w:val="30"/>
          <w:szCs w:val="30"/>
          <w:lang w:eastAsia="zh-CN"/>
        </w:rPr>
        <w:t>，主要原因是人员经费减少</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度财政拨款支出主要用于以下方面：一般公共服务支出</w:t>
      </w:r>
      <w:r>
        <w:rPr>
          <w:rFonts w:hint="eastAsia" w:ascii="仿宋_GB2312" w:eastAsia="仿宋_GB2312"/>
          <w:sz w:val="30"/>
          <w:szCs w:val="30"/>
          <w:lang w:val="en-US" w:eastAsia="zh-CN"/>
        </w:rPr>
        <w:t>555460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20</w:t>
      </w:r>
      <w:r>
        <w:rPr>
          <w:rFonts w:hint="eastAsia" w:ascii="仿宋_GB2312" w:eastAsia="仿宋_GB2312"/>
          <w:sz w:val="30"/>
          <w:szCs w:val="30"/>
        </w:rPr>
        <w:t>%，教育支出</w:t>
      </w:r>
      <w:r>
        <w:rPr>
          <w:rFonts w:hint="eastAsia" w:ascii="仿宋_GB2312" w:eastAsia="仿宋_GB2312"/>
          <w:sz w:val="30"/>
          <w:szCs w:val="30"/>
          <w:lang w:val="en-US" w:eastAsia="zh-CN"/>
        </w:rPr>
        <w:t>2012081.96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80</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215849.13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lang w:val="en-US" w:eastAsia="zh-CN"/>
          <w14:textFill>
            <w14:solidFill>
              <w14:schemeClr w14:val="tx1"/>
            </w14:solidFill>
          </w14:textFill>
        </w:rPr>
        <w:t>.</w:t>
      </w:r>
      <w:bookmarkStart w:id="0" w:name="_GoBack"/>
      <w:bookmarkEnd w:id="0"/>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2783407.03</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2053748.18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代课教师工资</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sz w:val="30"/>
          <w:szCs w:val="30"/>
        </w:rPr>
        <w:t>人员经费用途主要包括</w:t>
      </w:r>
      <w:r>
        <w:rPr>
          <w:rFonts w:hint="eastAsia" w:ascii="仿宋_GB2312" w:eastAsia="仿宋_GB2312"/>
          <w:color w:val="000000" w:themeColor="text1"/>
          <w:sz w:val="30"/>
          <w:szCs w:val="30"/>
          <w14:textFill>
            <w14:solidFill>
              <w14:schemeClr w14:val="tx1"/>
            </w14:solidFill>
          </w14:textFill>
        </w:rPr>
        <w:t>基本工资、津贴补贴、奖金、社会保障缴费等</w:t>
      </w:r>
      <w:r>
        <w:rPr>
          <w:rFonts w:hint="eastAsia" w:ascii="仿宋_GB2312" w:eastAsia="仿宋_GB2312"/>
          <w:sz w:val="30"/>
          <w:szCs w:val="30"/>
        </w:rPr>
        <w:t>。公用经费</w:t>
      </w:r>
      <w:r>
        <w:rPr>
          <w:rFonts w:hint="eastAsia" w:ascii="仿宋_GB2312" w:eastAsia="仿宋_GB2312"/>
          <w:sz w:val="30"/>
          <w:szCs w:val="30"/>
          <w:lang w:val="en-US" w:eastAsia="zh-CN"/>
        </w:rPr>
        <w:t>2012097.90</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，公用经费用途主要包括办公费、印刷费、咨询费、手续费等。</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四、“三公”经费情况说明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（一）“三公”经费支出总额情况。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年度本部门“三公”经费支出共计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（二）“三公”经费分项支出情况。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度本部门因公出国（境）费用</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（三）“三公”经费实物量情况。</w:t>
      </w:r>
    </w:p>
    <w:p>
      <w:pPr>
        <w:ind w:firstLine="1200" w:firstLineChars="400"/>
        <w:rPr>
          <w:rFonts w:hint="eastAsia" w:ascii="黑体" w:hAnsi="黑体" w:eastAsia="黑体"/>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五、其他需要说明的事项</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 机关运行经费情况说明。</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本部门机关运行经费支出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p>
    <w:p>
      <w:pPr>
        <w:ind w:firstLine="602"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 国有资产占用情况说明。</w:t>
      </w: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12月31日，本部门共有车辆</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其中： 单价50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以上通用设备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台（套），单价100</w:t>
      </w:r>
      <w:r>
        <w:rPr>
          <w:rFonts w:hint="eastAsia" w:ascii="仿宋_GB2312" w:eastAsia="仿宋_GB2312"/>
          <w:color w:val="000000" w:themeColor="text1"/>
          <w:sz w:val="30"/>
          <w:szCs w:val="30"/>
          <w:lang w:eastAsia="zh-CN"/>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以上专用设备</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台（套）。</w:t>
      </w:r>
    </w:p>
    <w:p>
      <w:pPr>
        <w:ind w:firstLine="602" w:firstLineChars="200"/>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 政府采购支出情况说明。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201</w:t>
      </w: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本部门政府采购支出总额</w:t>
      </w:r>
      <w:r>
        <w:rPr>
          <w:rFonts w:hint="eastAsia" w:ascii="仿宋_GB2312" w:eastAsia="仿宋_GB2312"/>
          <w:sz w:val="30"/>
          <w:szCs w:val="30"/>
          <w:lang w:val="en-US" w:eastAsia="zh-CN"/>
        </w:rPr>
        <w:t>2783407.03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，其中：政府采购货物支出</w:t>
      </w:r>
      <w:r>
        <w:rPr>
          <w:rFonts w:hint="eastAsia" w:ascii="仿宋_GB2312" w:eastAsia="仿宋_GB2312"/>
          <w:sz w:val="30"/>
          <w:szCs w:val="30"/>
          <w:lang w:val="en-US" w:eastAsia="zh-CN"/>
        </w:rPr>
        <w:t>2783407.03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、政府采购工程支出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政府采购服务支出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。主要用于采购</w:t>
      </w:r>
      <w:r>
        <w:rPr>
          <w:rFonts w:hint="eastAsia" w:ascii="仿宋_GB2312" w:eastAsia="仿宋_GB2312"/>
          <w:color w:val="000000" w:themeColor="text1"/>
          <w:sz w:val="30"/>
          <w:szCs w:val="30"/>
          <w:lang w:eastAsia="zh-CN"/>
          <w14:textFill>
            <w14:solidFill>
              <w14:schemeClr w14:val="tx1"/>
            </w14:solidFill>
          </w14:textFill>
        </w:rPr>
        <w:t>办公耗材、教学用具、维修校园文化建设等</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黑体" w:hAnsi="黑体" w:eastAsia="黑体"/>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（四）预算绩效管理情况说明</w:t>
      </w:r>
    </w:p>
    <w:p>
      <w:pPr>
        <w:ind w:firstLine="900" w:firstLineChars="300"/>
        <w:rPr>
          <w:rFonts w:hint="eastAsia" w:ascii="黑体" w:hAnsi="黑体" w:eastAsia="黑体"/>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无</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（十七）其他资本性支出（支出经济分类科目类级）：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注：</w:t>
      </w:r>
      <w:r>
        <w:rPr>
          <w:rFonts w:hint="eastAsia" w:ascii="仿宋_GB2312" w:eastAsia="仿宋_GB2312"/>
          <w:color w:val="000000" w:themeColor="text1"/>
          <w:sz w:val="30"/>
          <w:szCs w:val="30"/>
          <w14:textFill>
            <w14:solidFill>
              <w14:schemeClr w14:val="tx1"/>
            </w14:solidFill>
          </w14:textFill>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仿宋_GB2312" w:eastAsia="仿宋_GB2312"/>
          <w:color w:val="000000" w:themeColor="text1"/>
          <w:sz w:val="30"/>
          <w:szCs w:val="30"/>
          <w14:textFill>
            <w14:solidFill>
              <w14:schemeClr w14:val="tx1"/>
            </w14:solidFill>
          </w14:textFill>
        </w:rPr>
      </w:pPr>
    </w:p>
    <w:p>
      <w:pPr>
        <w:jc w:val="right"/>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2020年10月21日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4C634B"/>
    <w:rsid w:val="03074348"/>
    <w:rsid w:val="03964763"/>
    <w:rsid w:val="05DC75F4"/>
    <w:rsid w:val="074C2D72"/>
    <w:rsid w:val="087833B3"/>
    <w:rsid w:val="09153D7F"/>
    <w:rsid w:val="092E6672"/>
    <w:rsid w:val="09BF463B"/>
    <w:rsid w:val="09F36031"/>
    <w:rsid w:val="0A531507"/>
    <w:rsid w:val="0ADB4F81"/>
    <w:rsid w:val="0B8E5970"/>
    <w:rsid w:val="0B993042"/>
    <w:rsid w:val="0BFD1363"/>
    <w:rsid w:val="0C086AEA"/>
    <w:rsid w:val="0C1100E8"/>
    <w:rsid w:val="0C4E04EC"/>
    <w:rsid w:val="0CEE150A"/>
    <w:rsid w:val="0D560438"/>
    <w:rsid w:val="0E1241B5"/>
    <w:rsid w:val="0F5A1B21"/>
    <w:rsid w:val="0FA40BB5"/>
    <w:rsid w:val="10074FF0"/>
    <w:rsid w:val="101A5DDC"/>
    <w:rsid w:val="10660E8C"/>
    <w:rsid w:val="115F3345"/>
    <w:rsid w:val="11ED6CD4"/>
    <w:rsid w:val="11FE2BF9"/>
    <w:rsid w:val="12AB247D"/>
    <w:rsid w:val="140613E9"/>
    <w:rsid w:val="143C12DA"/>
    <w:rsid w:val="148206D7"/>
    <w:rsid w:val="14DB15D0"/>
    <w:rsid w:val="15E225C2"/>
    <w:rsid w:val="172E14B1"/>
    <w:rsid w:val="17542C27"/>
    <w:rsid w:val="18184403"/>
    <w:rsid w:val="18F1352C"/>
    <w:rsid w:val="195166F2"/>
    <w:rsid w:val="195E20F9"/>
    <w:rsid w:val="19D7702B"/>
    <w:rsid w:val="1AE113AE"/>
    <w:rsid w:val="1B4037C1"/>
    <w:rsid w:val="1B943FD8"/>
    <w:rsid w:val="1BB13D2A"/>
    <w:rsid w:val="1BFE4D0E"/>
    <w:rsid w:val="1D011684"/>
    <w:rsid w:val="1D7F1C35"/>
    <w:rsid w:val="1DD64839"/>
    <w:rsid w:val="1E0267E3"/>
    <w:rsid w:val="1E040D4A"/>
    <w:rsid w:val="1FB2554A"/>
    <w:rsid w:val="1FD92612"/>
    <w:rsid w:val="2058605C"/>
    <w:rsid w:val="20EC05D3"/>
    <w:rsid w:val="21290F28"/>
    <w:rsid w:val="21AE4381"/>
    <w:rsid w:val="22DA43D8"/>
    <w:rsid w:val="246D0C78"/>
    <w:rsid w:val="258C1E39"/>
    <w:rsid w:val="25E749C7"/>
    <w:rsid w:val="25F21160"/>
    <w:rsid w:val="261423E5"/>
    <w:rsid w:val="26B63045"/>
    <w:rsid w:val="27081C76"/>
    <w:rsid w:val="27C203A6"/>
    <w:rsid w:val="28952ABC"/>
    <w:rsid w:val="28A80C9C"/>
    <w:rsid w:val="29FA4C8B"/>
    <w:rsid w:val="2B913CF7"/>
    <w:rsid w:val="2C2643F4"/>
    <w:rsid w:val="2C346075"/>
    <w:rsid w:val="2CA43B0E"/>
    <w:rsid w:val="2DAF118D"/>
    <w:rsid w:val="2EE67926"/>
    <w:rsid w:val="2F9D0D54"/>
    <w:rsid w:val="2FEE2F2B"/>
    <w:rsid w:val="31753ED6"/>
    <w:rsid w:val="326353D2"/>
    <w:rsid w:val="32D378AB"/>
    <w:rsid w:val="35130FCB"/>
    <w:rsid w:val="35BB3764"/>
    <w:rsid w:val="36F037C8"/>
    <w:rsid w:val="380E114E"/>
    <w:rsid w:val="39225587"/>
    <w:rsid w:val="39B949E2"/>
    <w:rsid w:val="3A9217E8"/>
    <w:rsid w:val="3AF84657"/>
    <w:rsid w:val="3DDB0D2C"/>
    <w:rsid w:val="3EAC3DDB"/>
    <w:rsid w:val="3EE30981"/>
    <w:rsid w:val="3F07594D"/>
    <w:rsid w:val="3F3225A7"/>
    <w:rsid w:val="3FC67B95"/>
    <w:rsid w:val="41B47208"/>
    <w:rsid w:val="41CE6997"/>
    <w:rsid w:val="423C295D"/>
    <w:rsid w:val="42B44FE0"/>
    <w:rsid w:val="442634B8"/>
    <w:rsid w:val="445F64E8"/>
    <w:rsid w:val="44EF110F"/>
    <w:rsid w:val="458C2069"/>
    <w:rsid w:val="45A4388E"/>
    <w:rsid w:val="46270D52"/>
    <w:rsid w:val="46604EE8"/>
    <w:rsid w:val="47184080"/>
    <w:rsid w:val="475F3798"/>
    <w:rsid w:val="48AF3490"/>
    <w:rsid w:val="48FA3DB9"/>
    <w:rsid w:val="4AAE0FD5"/>
    <w:rsid w:val="4C356379"/>
    <w:rsid w:val="4C871A61"/>
    <w:rsid w:val="4E05109C"/>
    <w:rsid w:val="4ED82A7C"/>
    <w:rsid w:val="4F52009B"/>
    <w:rsid w:val="510C728D"/>
    <w:rsid w:val="510E00B5"/>
    <w:rsid w:val="53373BE3"/>
    <w:rsid w:val="547332F4"/>
    <w:rsid w:val="548359F9"/>
    <w:rsid w:val="560B39BB"/>
    <w:rsid w:val="56C468AD"/>
    <w:rsid w:val="575628F5"/>
    <w:rsid w:val="5BA03463"/>
    <w:rsid w:val="5BB0639C"/>
    <w:rsid w:val="5D1050D2"/>
    <w:rsid w:val="5D663898"/>
    <w:rsid w:val="5DD0505F"/>
    <w:rsid w:val="5DF40020"/>
    <w:rsid w:val="5E8C02F1"/>
    <w:rsid w:val="5F2727A8"/>
    <w:rsid w:val="618C23AD"/>
    <w:rsid w:val="61B80F0F"/>
    <w:rsid w:val="62A91DE9"/>
    <w:rsid w:val="65214B31"/>
    <w:rsid w:val="6792109B"/>
    <w:rsid w:val="69F23EA2"/>
    <w:rsid w:val="6A67135E"/>
    <w:rsid w:val="6AAC3C35"/>
    <w:rsid w:val="6C0E7412"/>
    <w:rsid w:val="6C385784"/>
    <w:rsid w:val="6C6A4C8F"/>
    <w:rsid w:val="6D411927"/>
    <w:rsid w:val="6D75333B"/>
    <w:rsid w:val="6DED1281"/>
    <w:rsid w:val="6E844B9B"/>
    <w:rsid w:val="6F455142"/>
    <w:rsid w:val="6FD67620"/>
    <w:rsid w:val="70484438"/>
    <w:rsid w:val="716B6A00"/>
    <w:rsid w:val="72485159"/>
    <w:rsid w:val="727B79EA"/>
    <w:rsid w:val="72F40C33"/>
    <w:rsid w:val="731B4CD0"/>
    <w:rsid w:val="740A1937"/>
    <w:rsid w:val="75635167"/>
    <w:rsid w:val="75833AE2"/>
    <w:rsid w:val="76E06251"/>
    <w:rsid w:val="772B36CF"/>
    <w:rsid w:val="78061B25"/>
    <w:rsid w:val="798D0A94"/>
    <w:rsid w:val="799D16FD"/>
    <w:rsid w:val="7A0344C4"/>
    <w:rsid w:val="7B4B6AF8"/>
    <w:rsid w:val="7C0213C2"/>
    <w:rsid w:val="7C7D1C2B"/>
    <w:rsid w:val="7CDD3E62"/>
    <w:rsid w:val="7D04376C"/>
    <w:rsid w:val="7D252462"/>
    <w:rsid w:val="7D824A33"/>
    <w:rsid w:val="7DFB0294"/>
    <w:rsid w:val="7E484FDF"/>
    <w:rsid w:val="7F4D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2020-11-05T16:08:07Z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