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积石山县自然资源局</w:t>
      </w: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w:t>
      </w:r>
    </w:p>
    <w:p>
      <w:pPr>
        <w:jc w:val="center"/>
        <w:rPr>
          <w:rFonts w:ascii="方正小标宋简体" w:eastAsia="方正小标宋简体"/>
          <w:sz w:val="36"/>
          <w:szCs w:val="36"/>
        </w:rPr>
      </w:pPr>
      <w:r>
        <w:rPr>
          <w:rFonts w:hint="eastAsia" w:ascii="方正小标宋简体" w:eastAsia="方正小标宋简体"/>
          <w:sz w:val="36"/>
          <w:szCs w:val="36"/>
        </w:rPr>
        <w:t>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_GB2312" w:eastAsia="仿宋_GB2312" w:hAnsiTheme="minorHAnsi" w:cstheme="minorBidi"/>
          <w:kern w:val="2"/>
          <w:sz w:val="30"/>
          <w:szCs w:val="30"/>
          <w:lang w:val="en-US" w:eastAsia="zh-CN" w:bidi="ar-SA"/>
        </w:rPr>
      </w:pPr>
      <w:r>
        <w:rPr>
          <w:rFonts w:hint="default" w:ascii="仿宋_GB2312" w:eastAsia="仿宋_GB2312" w:hAnsiTheme="minorHAnsi" w:cstheme="minorBidi"/>
          <w:kern w:val="2"/>
          <w:sz w:val="30"/>
          <w:szCs w:val="30"/>
          <w:lang w:val="en-US" w:eastAsia="zh-CN" w:bidi="ar-SA"/>
        </w:rPr>
        <w:t>（一）履行全民所有土地、矿产、森林、草原、湿地、水等自然资源资产所有者职责和所有国土空间用途管制职责。组织实施国家自然资源和国土空间规划及测绘等法律、法规，拟订管理相关政策并贯彻实施。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仿宋_GB2312" w:eastAsia="仿宋_GB2312" w:hAnsiTheme="minorHAnsi" w:cstheme="minorBidi"/>
          <w:kern w:val="2"/>
          <w:sz w:val="30"/>
          <w:szCs w:val="30"/>
          <w:lang w:val="en-US" w:eastAsia="zh-CN" w:bidi="ar-SA"/>
        </w:rPr>
      </w:pPr>
      <w:r>
        <w:rPr>
          <w:rFonts w:hint="default" w:ascii="仿宋_GB2312" w:eastAsia="仿宋_GB2312" w:hAnsiTheme="minorHAnsi" w:cstheme="minorBidi"/>
          <w:kern w:val="2"/>
          <w:sz w:val="30"/>
          <w:szCs w:val="30"/>
          <w:lang w:val="en-US" w:eastAsia="zh-CN" w:bidi="ar-SA"/>
        </w:rPr>
        <w:t>　　（二）负责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仿宋_GB2312" w:eastAsia="仿宋_GB2312" w:hAnsiTheme="minorHAnsi" w:cstheme="minorBidi"/>
          <w:kern w:val="2"/>
          <w:sz w:val="30"/>
          <w:szCs w:val="30"/>
          <w:lang w:val="en-US" w:eastAsia="zh-CN" w:bidi="ar-SA"/>
        </w:rPr>
      </w:pPr>
      <w:r>
        <w:rPr>
          <w:rFonts w:hint="default" w:ascii="仿宋_GB2312" w:eastAsia="仿宋_GB2312" w:hAnsiTheme="minorHAnsi" w:cstheme="minorBidi"/>
          <w:kern w:val="2"/>
          <w:sz w:val="30"/>
          <w:szCs w:val="30"/>
          <w:lang w:val="en-US" w:eastAsia="zh-CN" w:bidi="ar-SA"/>
        </w:rPr>
        <w:t>　　（三）负责自然资源统一确权登记工作。制定各类自然资源和不动产统一确权登记、权籍调查、不动产测绘、争议调处、成果应用的制度、标准、规范。推进自然资源和不动产登记信息管理基础平台建设。负责自然资源和不动产登记资料收集、整理、共享、汇交管理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仿宋_GB2312" w:eastAsia="仿宋_GB2312" w:hAnsiTheme="minorHAnsi" w:cstheme="minorBidi"/>
          <w:kern w:val="2"/>
          <w:sz w:val="30"/>
          <w:szCs w:val="30"/>
          <w:lang w:val="en-US" w:eastAsia="zh-CN" w:bidi="ar-SA"/>
        </w:rPr>
      </w:pPr>
      <w:r>
        <w:rPr>
          <w:rFonts w:hint="default" w:ascii="仿宋_GB2312" w:eastAsia="仿宋_GB2312" w:hAnsiTheme="minorHAnsi" w:cstheme="minorBidi"/>
          <w:kern w:val="2"/>
          <w:sz w:val="30"/>
          <w:szCs w:val="30"/>
          <w:lang w:val="en-US" w:eastAsia="zh-CN" w:bidi="ar-SA"/>
        </w:rPr>
        <w:t>　　（四）负责自然资源资产有偿使用工作。贯彻执行国家全民所有自然资源资产统计制度，负责全市全民所有自然资源资产核算。编制全民所有自然资源资产负债表，拟订考核标准。实施全民所有自然资源资产划拨、出让、租赁、作价出资和土地储备政策，合理配置全民所有自然资源资产。负责自然资源资产价值评估管理，依法收缴相关资产收益</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ascii="仿宋_GB2312" w:eastAsia="仿宋_GB2312"/>
          <w:sz w:val="30"/>
          <w:szCs w:val="30"/>
        </w:rPr>
      </w:pPr>
      <w:r>
        <w:rPr>
          <w:rFonts w:hint="eastAsia" w:asciiTheme="minorEastAsia" w:hAnsiTheme="minorEastAsia" w:eastAsiaTheme="minorEastAsia" w:cstheme="minorEastAsia"/>
          <w:b w:val="0"/>
          <w:bCs w:val="0"/>
          <w:sz w:val="32"/>
          <w:szCs w:val="32"/>
          <w:lang w:val="en-US" w:eastAsia="zh-CN"/>
        </w:rPr>
        <w:t>行政编制</w:t>
      </w:r>
      <w:r>
        <w:rPr>
          <w:rFonts w:hint="eastAsia" w:asciiTheme="minorEastAsia" w:hAnsi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lang w:val="en-US" w:eastAsia="zh-CN"/>
        </w:rPr>
        <w:t>人，事业编制</w:t>
      </w:r>
      <w:r>
        <w:rPr>
          <w:rFonts w:hint="eastAsia" w:asciiTheme="minorEastAsia" w:hAnsiTheme="minorEastAsia" w:cstheme="minorEastAsia"/>
          <w:b w:val="0"/>
          <w:bCs w:val="0"/>
          <w:sz w:val="32"/>
          <w:szCs w:val="32"/>
          <w:lang w:val="en-US" w:eastAsia="zh-CN"/>
        </w:rPr>
        <w:t>189</w:t>
      </w:r>
      <w:r>
        <w:rPr>
          <w:rFonts w:hint="eastAsia" w:asciiTheme="minorEastAsia" w:hAnsiTheme="minorEastAsia" w:eastAsiaTheme="minorEastAsia" w:cstheme="minorEastAsia"/>
          <w:b w:val="0"/>
          <w:bCs w:val="0"/>
          <w:sz w:val="32"/>
          <w:szCs w:val="32"/>
          <w:lang w:val="en-US" w:eastAsia="zh-CN"/>
        </w:rPr>
        <w:t>人，工勤编制2人</w:t>
      </w:r>
      <w:r>
        <w:rPr>
          <w:rFonts w:hint="eastAsia" w:asciiTheme="minorEastAsia" w:hAnsiTheme="minorEastAsia" w:cstheme="minorEastAsia"/>
          <w:b w:val="0"/>
          <w:bCs w:val="0"/>
          <w:sz w:val="32"/>
          <w:szCs w:val="32"/>
          <w:lang w:val="en-US" w:eastAsia="zh-CN"/>
        </w:rPr>
        <w:t>，共计195人</w:t>
      </w:r>
      <w:r>
        <w:rPr>
          <w:rFonts w:hint="eastAsia" w:asciiTheme="minorEastAsia" w:hAnsiTheme="minorEastAsia" w:eastAsiaTheme="minorEastAsia" w:cstheme="minorEastAsia"/>
          <w:b w:val="0"/>
          <w:bCs w:val="0"/>
          <w:sz w:val="32"/>
          <w:szCs w:val="32"/>
          <w:lang w:val="en-US" w:eastAsia="zh-CN"/>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度收入总计138293093.36</w:t>
      </w:r>
      <w:r>
        <w:rPr>
          <w:rFonts w:hint="eastAsia" w:ascii="仿宋_GB2312" w:eastAsia="仿宋_GB2312"/>
          <w:sz w:val="30"/>
          <w:szCs w:val="30"/>
          <w:lang w:eastAsia="zh-CN"/>
        </w:rPr>
        <w:t>元</w:t>
      </w:r>
      <w:r>
        <w:rPr>
          <w:rFonts w:hint="eastAsia" w:ascii="仿宋_GB2312" w:eastAsia="仿宋_GB2312"/>
          <w:sz w:val="30"/>
          <w:szCs w:val="30"/>
        </w:rPr>
        <w:t>，支出总计138012446.99</w:t>
      </w:r>
      <w:r>
        <w:rPr>
          <w:rFonts w:hint="eastAsia" w:ascii="仿宋_GB2312" w:eastAsia="仿宋_GB2312"/>
          <w:sz w:val="30"/>
          <w:szCs w:val="30"/>
          <w:lang w:eastAsia="zh-CN"/>
        </w:rPr>
        <w:t>元</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度收入合计138293093.36</w:t>
      </w:r>
      <w:r>
        <w:rPr>
          <w:rFonts w:hint="eastAsia" w:ascii="仿宋_GB2312" w:eastAsia="仿宋_GB2312"/>
          <w:sz w:val="30"/>
          <w:szCs w:val="30"/>
          <w:lang w:eastAsia="zh-CN"/>
        </w:rPr>
        <w:t>元</w:t>
      </w:r>
      <w:r>
        <w:rPr>
          <w:rFonts w:hint="eastAsia" w:ascii="仿宋_GB2312" w:eastAsia="仿宋_GB2312"/>
          <w:sz w:val="30"/>
          <w:szCs w:val="30"/>
        </w:rPr>
        <w:t>，其中：财政拨款收入138293093.36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度支出合计138012446.99</w:t>
      </w:r>
      <w:r>
        <w:rPr>
          <w:rFonts w:hint="eastAsia" w:ascii="仿宋_GB2312" w:eastAsia="仿宋_GB2312"/>
          <w:sz w:val="30"/>
          <w:szCs w:val="30"/>
          <w:lang w:eastAsia="zh-CN"/>
        </w:rPr>
        <w:t>元</w:t>
      </w:r>
      <w:r>
        <w:rPr>
          <w:rFonts w:hint="eastAsia" w:ascii="仿宋_GB2312" w:eastAsia="仿宋_GB2312"/>
          <w:sz w:val="30"/>
          <w:szCs w:val="30"/>
        </w:rPr>
        <w:t>，其中：基本支出22652952.73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25</w:t>
      </w:r>
      <w:r>
        <w:rPr>
          <w:rFonts w:hint="eastAsia" w:ascii="仿宋_GB2312" w:eastAsia="仿宋_GB2312"/>
          <w:sz w:val="30"/>
          <w:szCs w:val="30"/>
        </w:rPr>
        <w:t>%； 项目支出</w:t>
      </w:r>
      <w:r>
        <w:rPr>
          <w:rFonts w:hint="eastAsia" w:ascii="仿宋_GB2312" w:eastAsia="仿宋_GB2312"/>
          <w:sz w:val="30"/>
          <w:szCs w:val="30"/>
          <w:lang w:val="en-US" w:eastAsia="zh-CN"/>
        </w:rPr>
        <w:t>115359494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度年末结转和结余17525227.28</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539166</w:t>
      </w:r>
      <w:r>
        <w:rPr>
          <w:rFonts w:hint="eastAsia" w:ascii="仿宋_GB2312" w:eastAsia="仿宋_GB2312"/>
          <w:sz w:val="30"/>
          <w:szCs w:val="30"/>
          <w:lang w:eastAsia="zh-CN"/>
        </w:rPr>
        <w:t>元</w:t>
      </w:r>
      <w:r>
        <w:rPr>
          <w:rFonts w:hint="eastAsia" w:ascii="仿宋_GB2312" w:eastAsia="仿宋_GB2312"/>
          <w:sz w:val="30"/>
          <w:szCs w:val="30"/>
        </w:rPr>
        <w:t>，主要原因</w:t>
      </w:r>
      <w:r>
        <w:rPr>
          <w:rFonts w:hint="eastAsia" w:ascii="仿宋_GB2312" w:eastAsia="仿宋_GB2312"/>
          <w:sz w:val="30"/>
          <w:szCs w:val="30"/>
          <w:lang w:eastAsia="zh-CN"/>
        </w:rPr>
        <w:t>是历年结余和质保金</w:t>
      </w:r>
      <w:r>
        <w:rPr>
          <w:rFonts w:hint="eastAsia" w:ascii="仿宋_GB2312" w:eastAsia="仿宋_GB2312"/>
          <w:sz w:val="30"/>
          <w:szCs w:val="30"/>
        </w:rPr>
        <w:t>。</w:t>
      </w:r>
    </w:p>
    <w:p>
      <w:pPr>
        <w:numPr>
          <w:ilvl w:val="0"/>
          <w:numId w:val="1"/>
        </w:numPr>
        <w:ind w:firstLine="602" w:firstLineChars="200"/>
        <w:rPr>
          <w:rFonts w:hint="eastAsia" w:ascii="楷体_GB2312" w:eastAsia="楷体_GB2312"/>
          <w:b/>
          <w:sz w:val="30"/>
          <w:szCs w:val="30"/>
        </w:rPr>
      </w:pPr>
      <w:r>
        <w:rPr>
          <w:rFonts w:hint="eastAsia" w:ascii="楷体_GB2312" w:eastAsia="楷体_GB2312"/>
          <w:b/>
          <w:sz w:val="30"/>
          <w:szCs w:val="30"/>
        </w:rPr>
        <w:t>财政拨款收入支出决算总体情况说明</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度财政拨款收入</w:t>
      </w:r>
      <w:r>
        <w:rPr>
          <w:rFonts w:hint="eastAsia" w:ascii="仿宋_GB2312" w:eastAsia="仿宋_GB2312"/>
          <w:sz w:val="30"/>
          <w:szCs w:val="30"/>
        </w:rPr>
        <w:t>138293093.36</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lang w:val="en-US" w:eastAsia="zh-CN"/>
        </w:rPr>
        <w:t>由于2019年机构改革，与</w:t>
      </w:r>
      <w:r>
        <w:rPr>
          <w:rFonts w:hint="eastAsia" w:asciiTheme="minorEastAsia" w:hAnsiTheme="minorEastAsia" w:cstheme="minorEastAsia"/>
          <w:color w:val="auto"/>
          <w:sz w:val="32"/>
          <w:szCs w:val="32"/>
          <w:lang w:val="en-US" w:eastAsia="zh-CN"/>
        </w:rPr>
        <w:t>林业</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规划</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国土</w:t>
      </w:r>
      <w:r>
        <w:rPr>
          <w:rFonts w:hint="eastAsia" w:asciiTheme="minorEastAsia" w:hAnsiTheme="minorEastAsia" w:eastAsiaTheme="minorEastAsia" w:cstheme="minorEastAsia"/>
          <w:color w:val="auto"/>
          <w:sz w:val="32"/>
          <w:szCs w:val="32"/>
          <w:lang w:val="en-US" w:eastAsia="zh-CN"/>
        </w:rPr>
        <w:t>局合并无法与上年度相关数据对比</w:t>
      </w:r>
      <w:r>
        <w:rPr>
          <w:rFonts w:hint="eastAsia" w:asciiTheme="minorEastAsia" w:hAnsiTheme="minorEastAsia" w:eastAsiaTheme="minorEastAsia" w:cstheme="minorEastAsia"/>
          <w:color w:val="auto"/>
          <w:sz w:val="32"/>
          <w:szCs w:val="32"/>
        </w:rPr>
        <w:t>。</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度财政拨款支出</w:t>
      </w:r>
      <w:r>
        <w:rPr>
          <w:rFonts w:hint="eastAsia" w:asciiTheme="minorEastAsia" w:hAnsiTheme="minorEastAsia" w:eastAsiaTheme="minorEastAsia" w:cstheme="minorEastAsia"/>
          <w:color w:val="auto"/>
          <w:sz w:val="32"/>
          <w:szCs w:val="32"/>
          <w:lang w:val="en-US" w:eastAsia="zh-CN"/>
        </w:rPr>
        <w:t>138012446.99</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由于2019年机构改革，与</w:t>
      </w:r>
      <w:r>
        <w:rPr>
          <w:rFonts w:hint="eastAsia" w:asciiTheme="minorEastAsia" w:hAnsiTheme="minorEastAsia" w:cstheme="minorEastAsia"/>
          <w:color w:val="auto"/>
          <w:sz w:val="32"/>
          <w:szCs w:val="32"/>
          <w:lang w:val="en-US" w:eastAsia="zh-CN"/>
        </w:rPr>
        <w:t>林业</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规划</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国土</w:t>
      </w:r>
      <w:r>
        <w:rPr>
          <w:rFonts w:hint="eastAsia" w:asciiTheme="minorEastAsia" w:hAnsiTheme="minorEastAsia" w:eastAsiaTheme="minorEastAsia" w:cstheme="minorEastAsia"/>
          <w:color w:val="auto"/>
          <w:sz w:val="32"/>
          <w:szCs w:val="32"/>
          <w:lang w:val="en-US" w:eastAsia="zh-CN"/>
        </w:rPr>
        <w:t>局合并无法与上年度相关数据对比</w:t>
      </w:r>
      <w:r>
        <w:rPr>
          <w:rFonts w:hint="eastAsia" w:asciiTheme="minorEastAsia" w:hAnsiTheme="minorEastAsia" w:eastAsiaTheme="minorEastAsia" w:cstheme="minorEastAsia"/>
          <w:color w:val="auto"/>
          <w:sz w:val="32"/>
          <w:szCs w:val="32"/>
        </w:rPr>
        <w:t>。</w:t>
      </w:r>
    </w:p>
    <w:p>
      <w:pPr>
        <w:ind w:firstLine="301" w:firstLineChars="1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度一般公共财政拨款基本支出</w:t>
      </w:r>
      <w:r>
        <w:rPr>
          <w:rFonts w:hint="eastAsia" w:asciiTheme="minorEastAsia" w:hAnsiTheme="minorEastAsia" w:eastAsiaTheme="minorEastAsia" w:cstheme="minorEastAsia"/>
          <w:color w:val="auto"/>
          <w:sz w:val="32"/>
          <w:szCs w:val="32"/>
          <w:lang w:val="en-US" w:eastAsia="zh-CN"/>
        </w:rPr>
        <w:t>138012446.99</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。其中：人员经费15290375.8</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sz w:val="32"/>
          <w:szCs w:val="32"/>
        </w:rPr>
        <w:t>。人员经费用途主要包括</w:t>
      </w:r>
      <w:r>
        <w:rPr>
          <w:rFonts w:hint="eastAsia" w:asciiTheme="minorEastAsia" w:hAnsiTheme="minorEastAsia" w:eastAsiaTheme="minorEastAsia" w:cstheme="minorEastAsia"/>
          <w:color w:val="auto"/>
          <w:sz w:val="32"/>
          <w:szCs w:val="32"/>
        </w:rPr>
        <w:t>基本工资、津贴补贴、奖金、社会保障缴费等</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日常公用经费支出2155854.21，项目支出</w:t>
      </w:r>
      <w:r>
        <w:rPr>
          <w:rFonts w:hint="eastAsia" w:asciiTheme="minorEastAsia" w:hAnsiTheme="minorEastAsia" w:cstheme="minorEastAsia"/>
          <w:sz w:val="32"/>
          <w:szCs w:val="32"/>
          <w:lang w:val="en-US" w:eastAsia="zh-CN"/>
        </w:rPr>
        <w:t>120566216.98.</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Theme="minorEastAsia" w:hAnsiTheme="minorEastAsia" w:eastAsiaTheme="minorEastAsia" w:cstheme="minorEastAsia"/>
          <w:color w:val="auto"/>
          <w:sz w:val="32"/>
          <w:szCs w:val="32"/>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年度本部门“三公”经费支出共计30233.92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Theme="minorEastAsia" w:hAnsiTheme="minorEastAsia" w:eastAsiaTheme="minorEastAsia" w:cstheme="minorEastAsia"/>
          <w:color w:val="auto"/>
          <w:sz w:val="32"/>
          <w:szCs w:val="32"/>
          <w:lang w:val="en-US" w:eastAsia="zh-CN"/>
        </w:rPr>
        <w:t>由于2019年机构改革，与</w:t>
      </w:r>
      <w:r>
        <w:rPr>
          <w:rFonts w:hint="eastAsia" w:asciiTheme="minorEastAsia" w:hAnsiTheme="minorEastAsia" w:cstheme="minorEastAsia"/>
          <w:color w:val="auto"/>
          <w:sz w:val="32"/>
          <w:szCs w:val="32"/>
          <w:lang w:val="en-US" w:eastAsia="zh-CN"/>
        </w:rPr>
        <w:t>林业</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规划</w:t>
      </w:r>
      <w:r>
        <w:rPr>
          <w:rFonts w:hint="eastAsia" w:asciiTheme="minorEastAsia" w:hAnsiTheme="minorEastAsia" w:eastAsiaTheme="minorEastAsia" w:cstheme="minorEastAsia"/>
          <w:color w:val="auto"/>
          <w:sz w:val="32"/>
          <w:szCs w:val="32"/>
          <w:lang w:val="en-US" w:eastAsia="zh-CN"/>
        </w:rPr>
        <w:t>局、</w:t>
      </w:r>
      <w:r>
        <w:rPr>
          <w:rFonts w:hint="eastAsia" w:asciiTheme="minorEastAsia" w:hAnsiTheme="minorEastAsia" w:cstheme="minorEastAsia"/>
          <w:color w:val="auto"/>
          <w:sz w:val="32"/>
          <w:szCs w:val="32"/>
          <w:lang w:val="en-US" w:eastAsia="zh-CN"/>
        </w:rPr>
        <w:t>国土</w:t>
      </w:r>
      <w:r>
        <w:rPr>
          <w:rFonts w:hint="eastAsia" w:asciiTheme="minorEastAsia" w:hAnsiTheme="minorEastAsia" w:eastAsiaTheme="minorEastAsia" w:cstheme="minorEastAsia"/>
          <w:color w:val="auto"/>
          <w:sz w:val="32"/>
          <w:szCs w:val="32"/>
          <w:lang w:val="en-US" w:eastAsia="zh-CN"/>
        </w:rPr>
        <w:t>局合并无法与上年度相关数据对比</w:t>
      </w:r>
      <w:r>
        <w:rPr>
          <w:rFonts w:hint="eastAsia" w:asciiTheme="minorEastAsia" w:hAnsiTheme="minorEastAsia" w:eastAsiaTheme="minorEastAsia" w:cstheme="minorEastAsia"/>
          <w:color w:val="auto"/>
          <w:sz w:val="32"/>
          <w:szCs w:val="32"/>
        </w:rPr>
        <w:t>。</w:t>
      </w:r>
    </w:p>
    <w:p>
      <w:pPr>
        <w:ind w:firstLine="600" w:firstLineChars="200"/>
        <w:rPr>
          <w:rFonts w:ascii="仿宋_GB2312" w:eastAsia="仿宋_GB2312"/>
          <w:sz w:val="30"/>
          <w:szCs w:val="30"/>
        </w:rPr>
      </w:pP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公务车运行维护费30233.92</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sz w:val="30"/>
          <w:szCs w:val="30"/>
          <w:lang w:eastAsia="zh-CN"/>
        </w:rPr>
        <w:t>下乡</w:t>
      </w:r>
      <w:r>
        <w:rPr>
          <w:rFonts w:hint="eastAsia" w:ascii="仿宋_GB2312" w:eastAsia="仿宋_GB2312"/>
          <w:sz w:val="30"/>
          <w:szCs w:val="30"/>
        </w:rPr>
        <w:t xml:space="preserve"> 市内因公出</w:t>
      </w:r>
      <w:r>
        <w:rPr>
          <w:rFonts w:hint="eastAsia" w:ascii="仿宋_GB2312" w:eastAsia="仿宋_GB2312"/>
          <w:sz w:val="30"/>
          <w:szCs w:val="30"/>
          <w:lang w:eastAsia="zh-CN"/>
        </w:rPr>
        <w:t>差</w:t>
      </w:r>
      <w:r>
        <w:rPr>
          <w:rFonts w:hint="eastAsia" w:ascii="仿宋_GB2312" w:eastAsia="仿宋_GB2312"/>
          <w:sz w:val="30"/>
          <w:szCs w:val="30"/>
        </w:rPr>
        <w:t>等工作所需车辆的燃料费、维修费、过桥过路费、保险费等</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spacing w:line="620" w:lineRule="exact"/>
        <w:ind w:firstLine="640" w:firstLineChars="200"/>
        <w:rPr>
          <w:rFonts w:hint="default" w:ascii="仿宋_GB2312" w:eastAsia="仿宋_GB2312"/>
          <w:sz w:val="30"/>
          <w:szCs w:val="30"/>
          <w:lang w:val="en-US" w:eastAsia="zh-CN"/>
        </w:rPr>
      </w:pP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年度本</w:t>
      </w:r>
      <w:r>
        <w:rPr>
          <w:rFonts w:hint="eastAsia" w:asciiTheme="minorEastAsia" w:hAnsiTheme="minorEastAsia" w:eastAsiaTheme="minorEastAsia" w:cstheme="minorEastAsia"/>
          <w:sz w:val="32"/>
          <w:szCs w:val="32"/>
          <w:lang w:val="en-US" w:eastAsia="zh-CN"/>
        </w:rPr>
        <w:t>部门无</w:t>
      </w:r>
      <w:r>
        <w:rPr>
          <w:rFonts w:hint="eastAsia" w:asciiTheme="minorEastAsia" w:hAnsiTheme="minorEastAsia" w:eastAsiaTheme="minorEastAsia" w:cstheme="minorEastAsia"/>
          <w:sz w:val="32"/>
          <w:szCs w:val="32"/>
        </w:rPr>
        <w:t>“三公”经费支出。</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4160" w:firstLineChars="1300"/>
        <w:jc w:val="both"/>
        <w:rPr>
          <w:rFonts w:hint="eastAsia" w:asciiTheme="minorEastAsia" w:hAnsiTheme="minorEastAsia" w:eastAsiaTheme="minorEastAsia" w:cstheme="minorEastAsia"/>
          <w:sz w:val="32"/>
          <w:szCs w:val="32"/>
          <w:lang w:val="en-US" w:eastAsia="zh-CN"/>
        </w:rPr>
      </w:pPr>
    </w:p>
    <w:p>
      <w:pPr>
        <w:ind w:firstLine="4160" w:firstLineChars="1300"/>
        <w:jc w:val="both"/>
        <w:rPr>
          <w:rFonts w:hint="eastAsia" w:asciiTheme="minorEastAsia" w:hAnsiTheme="minorEastAsia" w:eastAsiaTheme="minorEastAsia" w:cstheme="minorEastAsia"/>
          <w:sz w:val="32"/>
          <w:szCs w:val="32"/>
          <w:lang w:val="en-US" w:eastAsia="zh-CN"/>
        </w:rPr>
      </w:pPr>
    </w:p>
    <w:p>
      <w:pPr>
        <w:ind w:firstLine="4160" w:firstLineChars="1300"/>
        <w:jc w:val="both"/>
        <w:rPr>
          <w:rFonts w:hint="eastAsia" w:asciiTheme="minorEastAsia" w:hAnsiTheme="minorEastAsia" w:eastAsiaTheme="minorEastAsia" w:cstheme="minorEastAsia"/>
          <w:sz w:val="32"/>
          <w:szCs w:val="32"/>
          <w:lang w:val="en-US" w:eastAsia="zh-CN"/>
        </w:rPr>
      </w:pPr>
    </w:p>
    <w:p>
      <w:pPr>
        <w:ind w:firstLine="4160" w:firstLineChars="1300"/>
        <w:jc w:val="both"/>
        <w:rPr>
          <w:rFonts w:hint="eastAsia" w:asciiTheme="minorEastAsia" w:hAnsiTheme="minorEastAsia" w:eastAsiaTheme="minorEastAsia" w:cstheme="minorEastAsia"/>
          <w:sz w:val="32"/>
          <w:szCs w:val="32"/>
          <w:lang w:val="en-US" w:eastAsia="zh-CN"/>
        </w:rPr>
      </w:pPr>
    </w:p>
    <w:p>
      <w:pPr>
        <w:ind w:firstLine="5440" w:firstLineChars="1700"/>
        <w:jc w:val="both"/>
        <w:rPr>
          <w:rFonts w:hint="eastAsia" w:asciiTheme="minorEastAsia" w:hAnsiTheme="minorEastAsia" w:eastAsiaTheme="minorEastAsia" w:cstheme="minorEastAsia"/>
          <w:sz w:val="32"/>
          <w:szCs w:val="32"/>
          <w:lang w:val="en-US" w:eastAsia="zh-CN"/>
        </w:rPr>
      </w:pPr>
      <w:bookmarkStart w:id="0" w:name="_GoBack"/>
      <w:bookmarkEnd w:id="0"/>
      <w:r>
        <w:rPr>
          <w:rFonts w:hint="eastAsia" w:asciiTheme="minorEastAsia" w:hAnsiTheme="minorEastAsia" w:eastAsiaTheme="minorEastAsia" w:cstheme="minorEastAsia"/>
          <w:sz w:val="32"/>
          <w:szCs w:val="32"/>
          <w:lang w:val="en-US" w:eastAsia="zh-CN"/>
        </w:rPr>
        <w:t>2019年12月</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3C9"/>
    <w:multiLevelType w:val="singleLevel"/>
    <w:tmpl w:val="084B53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EE67926"/>
    <w:rsid w:val="35130FCB"/>
    <w:rsid w:val="36DE5132"/>
    <w:rsid w:val="37D9783B"/>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2020-10-16T07:17:25Z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