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r>
              <w:rPr>
                <w:rFonts w:hint="eastAsia" w:ascii="宋体" w:hAnsi="宋体" w:cs="宋体"/>
                <w:b/>
                <w:sz w:val="44"/>
                <w:szCs w:val="44"/>
                <w:lang w:val="en-US" w:eastAsia="zh-CN"/>
              </w:rPr>
              <w:t>积石山县柳沟乡人民政府政务公开</w:t>
            </w:r>
            <w:r>
              <w:rPr>
                <w:rFonts w:hint="eastAsia" w:ascii="宋体" w:hAnsi="宋体" w:cs="宋体"/>
                <w:b/>
                <w:sz w:val="44"/>
                <w:szCs w:val="44"/>
              </w:rPr>
              <w:t>目录</w:t>
            </w:r>
          </w:p>
          <w:bookmarkEnd w:id="0"/>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44</w:t>
            </w:r>
          </w:p>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DFE52E5"/>
    <w:rsid w:val="0E212D65"/>
    <w:rsid w:val="149D6DDD"/>
    <w:rsid w:val="1AD079BC"/>
    <w:rsid w:val="1EAF3011"/>
    <w:rsid w:val="1FFA148C"/>
    <w:rsid w:val="308826AC"/>
    <w:rsid w:val="350E7B3B"/>
    <w:rsid w:val="3E5B66DC"/>
    <w:rsid w:val="40984151"/>
    <w:rsid w:val="458E7A14"/>
    <w:rsid w:val="45E452C3"/>
    <w:rsid w:val="4BD72EDE"/>
    <w:rsid w:val="5AD604D9"/>
    <w:rsid w:val="5DFB423F"/>
    <w:rsid w:val="5E501B04"/>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4</TotalTime>
  <ScaleCrop>false</ScaleCrop>
  <LinksUpToDate>false</LinksUpToDate>
  <CharactersWithSpaces>17075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2021-07-23T05:51:29Z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8BFF3E4CF0CE4198AB92C45920630566</vt:lpwstr>
  </property>
</Properties>
</file>