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rPr>
      </w:pPr>
      <w:r>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rPr>
        <w:t>2021年</w:t>
      </w:r>
      <w:r>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lang w:eastAsia="zh-CN"/>
        </w:rPr>
        <w:t>郭干乡</w:t>
      </w:r>
      <w:r>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rPr>
        <w:t>政府信息公开工作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rPr>
      </w:pPr>
      <w:r>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rPr>
        <w:t>年度报告</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firstLine="420"/>
        <w:jc w:val="left"/>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根据《中华人民共和国政府信息公开条例》的规定，现公布</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郭干乡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人民政府2021年政府信息公开工作年度报告。起止时间为2021年1月至12月。现将我</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政府截至目前的信息公开工作情况汇报如下：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rPr>
          <w:rFonts w:hint="eastAsia" w:ascii="黑体" w:hAnsi="黑体" w:eastAsia="黑体" w:cs="黑体"/>
          <w:b/>
          <w:bCs/>
          <w:color w:val="333333"/>
          <w:sz w:val="32"/>
          <w:szCs w:val="32"/>
        </w:rPr>
      </w:pPr>
      <w:r>
        <w:rPr>
          <w:rFonts w:hint="eastAsia" w:ascii="黑体" w:hAnsi="黑体" w:eastAsia="黑体" w:cs="黑体"/>
          <w:b/>
          <w:bCs/>
          <w:i w:val="0"/>
          <w:iCs w:val="0"/>
          <w:caps w:val="0"/>
          <w:color w:val="333333"/>
          <w:spacing w:val="0"/>
          <w:sz w:val="32"/>
          <w:szCs w:val="32"/>
          <w:bdr w:val="none" w:color="auto" w:sz="0" w:space="0"/>
          <w:shd w:val="clear" w:fill="FFFFFF"/>
        </w:rPr>
        <w:t>一、总体情况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2021年，我</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认真贯彻落实《中华人民共和国政府信息公开条例》和上级有关文件精神，在</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乡党委、乡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政府的领导下，按照相关规范信息公开工作的通知要求，紧紧围绕工作实际加强我</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政府信息管理，不断增强信息公开意识和责任意识，完善有关工作机制，坚持积极有序的做好全</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政府信息公开工作。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rPr>
          <w:rFonts w:hint="eastAsia" w:ascii="楷体_GB2312" w:hAnsi="楷体_GB2312" w:eastAsia="楷体_GB2312" w:cs="楷体_GB2312"/>
          <w:b/>
          <w:bCs/>
          <w:i w:val="0"/>
          <w:iCs w:val="0"/>
          <w:caps w:val="0"/>
          <w:color w:val="333333"/>
          <w:spacing w:val="0"/>
          <w:sz w:val="32"/>
          <w:szCs w:val="32"/>
          <w:shd w:val="clear" w:fill="FFFFFF"/>
        </w:rPr>
      </w:pPr>
      <w:r>
        <w:rPr>
          <w:rFonts w:hint="eastAsia" w:ascii="楷体_GB2312" w:hAnsi="楷体_GB2312" w:eastAsia="楷体_GB2312" w:cs="楷体_GB2312"/>
          <w:b/>
          <w:bCs/>
          <w:i w:val="0"/>
          <w:iCs w:val="0"/>
          <w:caps w:val="0"/>
          <w:color w:val="333333"/>
          <w:spacing w:val="0"/>
          <w:sz w:val="32"/>
          <w:szCs w:val="32"/>
          <w:shd w:val="clear" w:fill="FFFFFF"/>
        </w:rPr>
        <w:t>（一）2021年政府信息公开工作要点落实情况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我</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紧紧围绕</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县</w:t>
      </w:r>
      <w:r>
        <w:rPr>
          <w:rFonts w:hint="eastAsia" w:ascii="仿宋_GB2312" w:hAnsi="仿宋_GB2312" w:eastAsia="仿宋_GB2312" w:cs="仿宋_GB2312"/>
          <w:i w:val="0"/>
          <w:iCs w:val="0"/>
          <w:caps w:val="0"/>
          <w:color w:val="333333"/>
          <w:spacing w:val="0"/>
          <w:sz w:val="32"/>
          <w:szCs w:val="32"/>
          <w:bdr w:val="none" w:color="auto" w:sz="0" w:space="0"/>
          <w:shd w:val="clear" w:fill="FFFFFF"/>
        </w:rPr>
        <w:t>委</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、县</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政府决策部署和2021年</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郭干乡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经济社会发展目标，及时将落实措施及执行情况向社会公开。重点公开涉及群众切身利益、需要群众广泛知晓的事项以及法律法规规定需要公开的其他事项。同时加强对党务、政务、村务公开的指导。把公开透明的要求贯穿于政务服务各个环节，以公开促进政务服务水平的提高，创造条件保障人民群众更好地了解和监督政府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rPr>
          <w:rFonts w:hint="eastAsia" w:ascii="楷体_GB2312" w:hAnsi="楷体_GB2312" w:eastAsia="楷体_GB2312" w:cs="楷体_GB2312"/>
          <w:b/>
          <w:bCs/>
          <w:i w:val="0"/>
          <w:iCs w:val="0"/>
          <w:caps w:val="0"/>
          <w:color w:val="333333"/>
          <w:spacing w:val="0"/>
          <w:sz w:val="32"/>
          <w:szCs w:val="32"/>
          <w:shd w:val="clear" w:fill="FFFFFF"/>
        </w:rPr>
      </w:pPr>
      <w:r>
        <w:rPr>
          <w:rFonts w:hint="eastAsia" w:ascii="楷体_GB2312" w:hAnsi="楷体_GB2312" w:eastAsia="楷体_GB2312" w:cs="楷体_GB2312"/>
          <w:b/>
          <w:bCs/>
          <w:i w:val="0"/>
          <w:iCs w:val="0"/>
          <w:caps w:val="0"/>
          <w:color w:val="333333"/>
          <w:spacing w:val="0"/>
          <w:sz w:val="32"/>
          <w:szCs w:val="32"/>
          <w:shd w:val="clear" w:fill="FFFFFF"/>
        </w:rPr>
        <w:t>（二）加强组织领导，完善机构人员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color w:val="333333"/>
          <w:sz w:val="32"/>
          <w:szCs w:val="32"/>
          <w:lang w:eastAsia="zh-CN"/>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为了加强对政府信息公开工作的领导，</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政府成立了政府信息公开工作领导小组，</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党政综合办公室各相关部门主要负责人为成员的政府信息公开工作领导小组。领导小组下设办公室，办公室设在</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党政综合办公室，负责全</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政府信息公开的日常工作</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，严格分工，明确职责，做到责任到人。</w:t>
      </w:r>
      <w:bookmarkStart w:id="0" w:name="_GoBack"/>
      <w:bookmarkEnd w:id="0"/>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rPr>
          <w:rFonts w:hint="eastAsia" w:ascii="楷体_GB2312" w:hAnsi="楷体_GB2312" w:eastAsia="楷体_GB2312" w:cs="楷体_GB2312"/>
          <w:b/>
          <w:bCs/>
          <w:color w:val="333333"/>
          <w:sz w:val="32"/>
          <w:szCs w:val="32"/>
        </w:rPr>
      </w:pPr>
      <w:r>
        <w:rPr>
          <w:rFonts w:hint="eastAsia" w:ascii="楷体_GB2312" w:hAnsi="楷体_GB2312" w:eastAsia="楷体_GB2312" w:cs="楷体_GB2312"/>
          <w:b/>
          <w:bCs/>
          <w:i w:val="0"/>
          <w:iCs w:val="0"/>
          <w:caps w:val="0"/>
          <w:color w:val="333333"/>
          <w:spacing w:val="0"/>
          <w:sz w:val="32"/>
          <w:szCs w:val="32"/>
          <w:bdr w:val="none" w:color="auto" w:sz="0" w:space="0"/>
          <w:shd w:val="clear" w:fill="FFFFFF"/>
        </w:rPr>
        <w:t>（三）加强宣传培训，精心组织实施</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为了推进政府信息公开工作的顺利进展，认真做好政府信息公开的各项工作，我</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乡组织干部学习</w:t>
      </w:r>
      <w:r>
        <w:rPr>
          <w:rFonts w:ascii="仿宋" w:hAnsi="仿宋" w:eastAsia="仿宋" w:cs="仿宋"/>
          <w:i w:val="0"/>
          <w:iCs w:val="0"/>
          <w:caps w:val="0"/>
          <w:color w:val="333333"/>
          <w:spacing w:val="0"/>
          <w:sz w:val="31"/>
          <w:szCs w:val="31"/>
          <w:shd w:val="clear" w:fill="FFFFFF"/>
        </w:rPr>
        <w:t>《中华人民共和国政府信息公开条例》（以下简称《条例》）</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深刻领会《条例》实施的重大意义，进一步熟悉了解《条例》</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，熟知</w:t>
      </w:r>
      <w:r>
        <w:rPr>
          <w:rFonts w:hint="eastAsia" w:ascii="仿宋_GB2312" w:hAnsi="仿宋_GB2312" w:eastAsia="仿宋_GB2312" w:cs="仿宋_GB2312"/>
          <w:i w:val="0"/>
          <w:iCs w:val="0"/>
          <w:caps w:val="0"/>
          <w:color w:val="333333"/>
          <w:spacing w:val="0"/>
          <w:sz w:val="32"/>
          <w:szCs w:val="32"/>
          <w:shd w:val="clear" w:fill="FFFFFF"/>
        </w:rPr>
        <w:t>《条例》</w:t>
      </w:r>
      <w:r>
        <w:rPr>
          <w:rFonts w:hint="eastAsia" w:ascii="仿宋_GB2312" w:hAnsi="仿宋_GB2312" w:eastAsia="仿宋_GB2312" w:cs="仿宋_GB2312"/>
          <w:i w:val="0"/>
          <w:iCs w:val="0"/>
          <w:caps w:val="0"/>
          <w:color w:val="333333"/>
          <w:spacing w:val="0"/>
          <w:sz w:val="32"/>
          <w:szCs w:val="32"/>
          <w:shd w:val="clear" w:fill="FFFFFF"/>
          <w:lang w:eastAsia="zh-CN"/>
        </w:rPr>
        <w:t>要求，为扎实开展政府信息公开工作奠定基础</w:t>
      </w:r>
      <w:r>
        <w:rPr>
          <w:rFonts w:hint="eastAsia" w:ascii="仿宋_GB2312" w:hAnsi="仿宋_GB2312" w:eastAsia="仿宋_GB2312" w:cs="仿宋_GB2312"/>
          <w:i w:val="0"/>
          <w:iCs w:val="0"/>
          <w:caps w:val="0"/>
          <w:color w:val="333333"/>
          <w:spacing w:val="0"/>
          <w:sz w:val="32"/>
          <w:szCs w:val="32"/>
          <w:bdr w:val="none" w:color="auto" w:sz="0" w:space="0"/>
          <w:shd w:val="clear" w:fill="FFFFFF"/>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firstLine="964" w:firstLineChars="300"/>
        <w:jc w:val="left"/>
        <w:rPr>
          <w:rFonts w:hint="eastAsia" w:ascii="黑体" w:hAnsi="黑体" w:eastAsia="黑体" w:cs="黑体"/>
          <w:b/>
          <w:bCs/>
          <w:color w:val="333333"/>
          <w:sz w:val="32"/>
          <w:szCs w:val="32"/>
        </w:rPr>
      </w:pPr>
      <w:r>
        <w:rPr>
          <w:rFonts w:hint="eastAsia" w:ascii="黑体" w:hAnsi="黑体" w:eastAsia="黑体" w:cs="黑体"/>
          <w:b/>
          <w:bCs/>
          <w:i w:val="0"/>
          <w:iCs w:val="0"/>
          <w:caps w:val="0"/>
          <w:color w:val="333333"/>
          <w:spacing w:val="0"/>
          <w:sz w:val="32"/>
          <w:szCs w:val="32"/>
          <w:bdr w:val="none" w:color="auto" w:sz="0" w:space="0"/>
          <w:shd w:val="clear" w:fill="FFFFFF"/>
        </w:rPr>
        <w:t>二、主动公开政府信息情况</w:t>
      </w:r>
    </w:p>
    <w:tbl>
      <w:tblPr>
        <w:tblW w:w="973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2430"/>
        <w:gridCol w:w="2430"/>
        <w:gridCol w:w="2430"/>
        <w:gridCol w:w="24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345" w:hRule="atLeast"/>
        </w:trPr>
        <w:tc>
          <w:tcPr>
            <w:tcW w:w="9735" w:type="dxa"/>
            <w:gridSpan w:val="4"/>
            <w:tcBorders>
              <w:top w:val="single" w:color="auto" w:sz="6" w:space="0"/>
              <w:left w:val="single" w:color="auto" w:sz="6" w:space="0"/>
              <w:bottom w:val="single" w:color="auto" w:sz="6" w:space="0"/>
              <w:right w:val="single" w:color="auto" w:sz="6" w:space="0"/>
            </w:tcBorders>
            <w:shd w:val="clear" w:color="auto" w:fill="C6D9F1"/>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第二十条第（一）项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信息内容</w:t>
            </w:r>
          </w:p>
        </w:tc>
        <w:tc>
          <w:tcPr>
            <w:tcW w:w="243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本年制发件数</w:t>
            </w:r>
          </w:p>
        </w:tc>
        <w:tc>
          <w:tcPr>
            <w:tcW w:w="243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本年废止件数</w:t>
            </w:r>
          </w:p>
        </w:tc>
        <w:tc>
          <w:tcPr>
            <w:tcW w:w="243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现行有效件数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规章</w:t>
            </w:r>
          </w:p>
        </w:tc>
        <w:tc>
          <w:tcPr>
            <w:tcW w:w="243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243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243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行政规范性文件</w:t>
            </w:r>
          </w:p>
        </w:tc>
        <w:tc>
          <w:tcPr>
            <w:tcW w:w="243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243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243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9735" w:type="dxa"/>
            <w:gridSpan w:val="4"/>
            <w:tcBorders>
              <w:top w:val="nil"/>
              <w:left w:val="single" w:color="auto" w:sz="6" w:space="0"/>
              <w:bottom w:val="single" w:color="auto" w:sz="6" w:space="0"/>
              <w:right w:val="single" w:color="auto" w:sz="6" w:space="0"/>
            </w:tcBorders>
            <w:shd w:val="clear" w:color="auto" w:fill="C6D9F1"/>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第二十条第（五）项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信息内容</w:t>
            </w:r>
          </w:p>
        </w:tc>
        <w:tc>
          <w:tcPr>
            <w:tcW w:w="7305" w:type="dxa"/>
            <w:gridSpan w:val="3"/>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本年处理决定数量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行政许可</w:t>
            </w:r>
          </w:p>
        </w:tc>
        <w:tc>
          <w:tcPr>
            <w:tcW w:w="7305" w:type="dxa"/>
            <w:gridSpan w:val="3"/>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9735" w:type="dxa"/>
            <w:gridSpan w:val="4"/>
            <w:tcBorders>
              <w:top w:val="nil"/>
              <w:left w:val="single" w:color="auto" w:sz="6" w:space="0"/>
              <w:bottom w:val="single" w:color="auto" w:sz="6" w:space="0"/>
              <w:right w:val="single" w:color="auto" w:sz="6" w:space="0"/>
            </w:tcBorders>
            <w:shd w:val="clear" w:color="auto" w:fill="C6D9F1"/>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第二十条第（六）项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信息内容</w:t>
            </w:r>
          </w:p>
        </w:tc>
        <w:tc>
          <w:tcPr>
            <w:tcW w:w="7305" w:type="dxa"/>
            <w:gridSpan w:val="3"/>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本年处理决定数量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行政处罚</w:t>
            </w:r>
          </w:p>
        </w:tc>
        <w:tc>
          <w:tcPr>
            <w:tcW w:w="7305" w:type="dxa"/>
            <w:gridSpan w:val="3"/>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行政强制</w:t>
            </w:r>
          </w:p>
        </w:tc>
        <w:tc>
          <w:tcPr>
            <w:tcW w:w="7305" w:type="dxa"/>
            <w:gridSpan w:val="3"/>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9735" w:type="dxa"/>
            <w:gridSpan w:val="4"/>
            <w:tcBorders>
              <w:top w:val="nil"/>
              <w:left w:val="single" w:color="auto" w:sz="6" w:space="0"/>
              <w:bottom w:val="single" w:color="auto" w:sz="6" w:space="0"/>
              <w:right w:val="single" w:color="auto" w:sz="6" w:space="0"/>
            </w:tcBorders>
            <w:shd w:val="clear" w:color="auto" w:fill="C6D9F1"/>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第二十条第（八）项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信息内容</w:t>
            </w:r>
          </w:p>
        </w:tc>
        <w:tc>
          <w:tcPr>
            <w:tcW w:w="7305" w:type="dxa"/>
            <w:gridSpan w:val="3"/>
            <w:tcBorders>
              <w:top w:val="nil"/>
              <w:left w:val="nil"/>
              <w:bottom w:val="single" w:color="auto" w:sz="6" w:space="0"/>
              <w:right w:val="single" w:color="000000"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本年收费金额（单位：万元）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5" w:hRule="atLeast"/>
        </w:trPr>
        <w:tc>
          <w:tcPr>
            <w:tcW w:w="2430" w:type="dxa"/>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行政事业性收费</w:t>
            </w:r>
          </w:p>
        </w:tc>
        <w:tc>
          <w:tcPr>
            <w:tcW w:w="7305" w:type="dxa"/>
            <w:gridSpan w:val="3"/>
            <w:tcBorders>
              <w:top w:val="nil"/>
              <w:left w:val="nil"/>
              <w:bottom w:val="single" w:color="auto" w:sz="6" w:space="0"/>
              <w:right w:val="single" w:color="000000"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firstLine="964" w:firstLineChars="300"/>
        <w:jc w:val="left"/>
        <w:rPr>
          <w:rFonts w:hint="eastAsia" w:ascii="黑体" w:hAnsi="黑体" w:eastAsia="黑体" w:cs="黑体"/>
          <w:b/>
          <w:bCs/>
          <w:color w:val="333333"/>
          <w:sz w:val="32"/>
          <w:szCs w:val="32"/>
        </w:rPr>
      </w:pPr>
      <w:r>
        <w:rPr>
          <w:rFonts w:hint="eastAsia" w:ascii="黑体" w:hAnsi="黑体" w:eastAsia="黑体" w:cs="黑体"/>
          <w:b/>
          <w:bCs/>
          <w:i w:val="0"/>
          <w:iCs w:val="0"/>
          <w:caps w:val="0"/>
          <w:color w:val="333333"/>
          <w:spacing w:val="0"/>
          <w:sz w:val="32"/>
          <w:szCs w:val="32"/>
          <w:bdr w:val="none" w:color="auto" w:sz="0" w:space="0"/>
          <w:shd w:val="clear" w:fill="FFFFFF"/>
        </w:rPr>
        <w:t>三、收到和处理政府信息公开申请情况</w:t>
      </w:r>
    </w:p>
    <w:tbl>
      <w:tblPr>
        <w:tblW w:w="975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750"/>
        <w:gridCol w:w="915"/>
        <w:gridCol w:w="3262"/>
        <w:gridCol w:w="689"/>
        <w:gridCol w:w="689"/>
        <w:gridCol w:w="689"/>
        <w:gridCol w:w="689"/>
        <w:gridCol w:w="689"/>
        <w:gridCol w:w="689"/>
        <w:gridCol w:w="6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495" w:hRule="atLeast"/>
        </w:trPr>
        <w:tc>
          <w:tcPr>
            <w:tcW w:w="4935" w:type="dxa"/>
            <w:gridSpan w:val="3"/>
            <w:vMerge w:val="restart"/>
            <w:tcBorders>
              <w:top w:val="single" w:color="auto" w:sz="6" w:space="0"/>
              <w:left w:val="single" w:color="auto" w:sz="6" w:space="0"/>
              <w:bottom w:val="inset"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（本列数据的勾稽关系为：第一项加第二项之和，等于第三项加第四项之和）</w:t>
            </w:r>
          </w:p>
        </w:tc>
        <w:tc>
          <w:tcPr>
            <w:tcW w:w="4815" w:type="dxa"/>
            <w:gridSpan w:val="7"/>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申请人情况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4935" w:type="dxa"/>
            <w:gridSpan w:val="3"/>
            <w:vMerge w:val="continue"/>
            <w:tcBorders>
              <w:top w:val="single" w:color="auto" w:sz="6" w:space="0"/>
              <w:left w:val="single" w:color="auto" w:sz="6" w:space="0"/>
              <w:bottom w:val="inset" w:color="auto" w:sz="6" w:space="0"/>
              <w:right w:val="single" w:color="auto" w:sz="6" w:space="0"/>
            </w:tcBorders>
            <w:shd w:val="clear"/>
            <w:tcMar>
              <w:top w:w="0" w:type="dxa"/>
              <w:left w:w="105" w:type="dxa"/>
              <w:bottom w:w="0" w:type="dxa"/>
              <w:right w:w="105" w:type="dxa"/>
            </w:tcMar>
            <w:vAlign w:val="center"/>
          </w:tcPr>
          <w:p>
            <w:pPr>
              <w:rPr>
                <w:rFonts w:hint="eastAsia" w:ascii="宋体"/>
                <w:sz w:val="24"/>
                <w:szCs w:val="24"/>
              </w:rPr>
            </w:pPr>
          </w:p>
        </w:tc>
        <w:tc>
          <w:tcPr>
            <w:tcW w:w="690" w:type="dxa"/>
            <w:vMerge w:val="restart"/>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自然人</w:t>
            </w:r>
          </w:p>
        </w:tc>
        <w:tc>
          <w:tcPr>
            <w:tcW w:w="3435" w:type="dxa"/>
            <w:gridSpan w:val="5"/>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法人或其他组织</w:t>
            </w:r>
          </w:p>
        </w:tc>
        <w:tc>
          <w:tcPr>
            <w:tcW w:w="690" w:type="dxa"/>
            <w:vMerge w:val="restart"/>
            <w:tcBorders>
              <w:top w:val="single" w:color="auto" w:sz="6" w:space="0"/>
              <w:left w:val="nil"/>
              <w:bottom w:val="inset"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总计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1755" w:hRule="atLeast"/>
        </w:trPr>
        <w:tc>
          <w:tcPr>
            <w:tcW w:w="4935" w:type="dxa"/>
            <w:gridSpan w:val="3"/>
            <w:vMerge w:val="continue"/>
            <w:tcBorders>
              <w:top w:val="single" w:color="auto" w:sz="6" w:space="0"/>
              <w:left w:val="single" w:color="auto" w:sz="6" w:space="0"/>
              <w:bottom w:val="inset" w:color="auto" w:sz="6" w:space="0"/>
              <w:right w:val="single" w:color="auto" w:sz="6" w:space="0"/>
            </w:tcBorders>
            <w:shd w:val="clear"/>
            <w:tcMar>
              <w:top w:w="0" w:type="dxa"/>
              <w:left w:w="105" w:type="dxa"/>
              <w:bottom w:w="0" w:type="dxa"/>
              <w:right w:w="105" w:type="dxa"/>
            </w:tcMar>
            <w:vAlign w:val="center"/>
          </w:tcPr>
          <w:p>
            <w:pPr>
              <w:rPr>
                <w:rFonts w:hint="eastAsia" w:ascii="宋体"/>
                <w:sz w:val="24"/>
                <w:szCs w:val="24"/>
              </w:rPr>
            </w:pPr>
          </w:p>
        </w:tc>
        <w:tc>
          <w:tcPr>
            <w:tcW w:w="690" w:type="dxa"/>
            <w:vMerge w:val="continue"/>
            <w:tcBorders>
              <w:top w:val="nil"/>
              <w:left w:val="nil"/>
              <w:bottom w:val="single"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商业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企业</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科研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机构</w:t>
            </w:r>
          </w:p>
        </w:tc>
        <w:tc>
          <w:tcPr>
            <w:tcW w:w="69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社会公益组织</w:t>
            </w:r>
          </w:p>
        </w:tc>
        <w:tc>
          <w:tcPr>
            <w:tcW w:w="69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法律服务机构</w:t>
            </w:r>
          </w:p>
        </w:tc>
        <w:tc>
          <w:tcPr>
            <w:tcW w:w="69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其他</w:t>
            </w:r>
          </w:p>
        </w:tc>
        <w:tc>
          <w:tcPr>
            <w:tcW w:w="690" w:type="dxa"/>
            <w:vMerge w:val="continue"/>
            <w:tcBorders>
              <w:top w:val="single" w:color="auto" w:sz="6" w:space="0"/>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4935" w:type="dxa"/>
            <w:gridSpan w:val="3"/>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一、本年新收政府信息公开申请数量</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4935" w:type="dxa"/>
            <w:gridSpan w:val="3"/>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二、上年结转政府信息公开申请数量</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restart"/>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三、本年度办理结果</w:t>
            </w:r>
          </w:p>
        </w:tc>
        <w:tc>
          <w:tcPr>
            <w:tcW w:w="4185" w:type="dxa"/>
            <w:gridSpan w:val="2"/>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（一）予以公开</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4185" w:type="dxa"/>
            <w:gridSpan w:val="2"/>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（二）部分公开（区分处理的，只计这一情形，不计其他情形）</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restart"/>
            <w:tcBorders>
              <w:top w:val="nil"/>
              <w:left w:val="nil"/>
              <w:bottom w:val="inset"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（三）不予公开</w:t>
            </w: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1.属于国家秘密</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single" w:color="auto" w:sz="6" w:space="0"/>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2.其他法律行政法规禁止公开</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3.危及“三安全一稳定”</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4.保护第三方合法权益</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5.属于三类内部事务信息</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6.属于四类过程性信息</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7.属于行政执法案卷</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8.属于行政查询事项</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restart"/>
            <w:tcBorders>
              <w:top w:val="nil"/>
              <w:left w:val="nil"/>
              <w:bottom w:val="inset"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（四）无法提供</w:t>
            </w: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1.本机关不掌握相关政府信息</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2.没有现成信息需要另行制作</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3.补正后申请内容仍不明确</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restart"/>
            <w:tcBorders>
              <w:top w:val="nil"/>
              <w:left w:val="nil"/>
              <w:bottom w:val="inset"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（五）不予处理</w:t>
            </w: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1.信访举报投诉类申请</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2.重复申请</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3.要求提供公开出版物</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4.无正当理由大量反复申请</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780" w:hRule="atLeast"/>
        </w:trPr>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inset"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5.要求行政机关确认或重新出具已获取信息</w:t>
            </w:r>
          </w:p>
        </w:tc>
        <w:tc>
          <w:tcPr>
            <w:tcW w:w="690" w:type="dxa"/>
            <w:tcBorders>
              <w:top w:val="nil"/>
              <w:left w:val="nil"/>
              <w:bottom w:val="inset"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inset"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inset"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inset"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inset"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inset"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inset"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restart"/>
            <w:tcBorders>
              <w:top w:val="nil"/>
              <w:left w:val="nil"/>
              <w:bottom w:val="inset"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（六）其他处理</w:t>
            </w: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1.申请人无正当理由逾期不补正、行政机关不再处理其政府信息公开申请</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2.申请人逾期未按收费通知要求缴纳费用、行政机关不再处理其政府信息公开申请</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915" w:type="dxa"/>
            <w:vMerge w:val="continue"/>
            <w:tcBorders>
              <w:top w:val="nil"/>
              <w:left w:val="nil"/>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3255"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3.其他</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750" w:type="dxa"/>
            <w:vMerge w:val="continue"/>
            <w:tcBorders>
              <w:top w:val="nil"/>
              <w:left w:val="single" w:color="auto" w:sz="6" w:space="0"/>
              <w:bottom w:val="inset" w:color="auto" w:sz="6" w:space="0"/>
              <w:right w:val="single" w:color="auto" w:sz="6" w:space="0"/>
            </w:tcBorders>
            <w:shd w:val="clear"/>
            <w:tcMar>
              <w:top w:w="0" w:type="dxa"/>
              <w:left w:w="60" w:type="dxa"/>
              <w:bottom w:w="0" w:type="dxa"/>
              <w:right w:w="60" w:type="dxa"/>
            </w:tcMar>
            <w:vAlign w:val="center"/>
          </w:tcPr>
          <w:p>
            <w:pPr>
              <w:rPr>
                <w:rFonts w:hint="eastAsia" w:ascii="宋体"/>
                <w:sz w:val="24"/>
                <w:szCs w:val="24"/>
              </w:rPr>
            </w:pPr>
          </w:p>
        </w:tc>
        <w:tc>
          <w:tcPr>
            <w:tcW w:w="4185" w:type="dxa"/>
            <w:gridSpan w:val="2"/>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（七）总计</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4935" w:type="dxa"/>
            <w:gridSpan w:val="3"/>
            <w:tcBorders>
              <w:top w:val="nil"/>
              <w:left w:val="single" w:color="auto" w:sz="6" w:space="0"/>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四、结转下年度继续办理</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0 </w:t>
            </w:r>
          </w:p>
        </w:tc>
        <w:tc>
          <w:tcPr>
            <w:tcW w:w="690" w:type="dxa"/>
            <w:tcBorders>
              <w:top w:val="nil"/>
              <w:left w:val="nil"/>
              <w:bottom w:val="single" w:color="auto" w:sz="6" w:space="0"/>
              <w:right w:val="single" w:color="auto" w:sz="6" w:space="0"/>
            </w:tcBorders>
            <w:shd w:val="clear"/>
            <w:tcMar>
              <w:top w:w="0" w:type="dxa"/>
              <w:left w:w="60" w:type="dxa"/>
              <w:bottom w:w="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right="0" w:firstLine="643" w:firstLineChars="200"/>
        <w:jc w:val="left"/>
        <w:rPr>
          <w:rFonts w:hint="eastAsia" w:ascii="黑体" w:hAnsi="黑体" w:eastAsia="黑体" w:cs="黑体"/>
          <w:b/>
          <w:bCs/>
          <w:color w:val="333333"/>
          <w:sz w:val="32"/>
          <w:szCs w:val="32"/>
        </w:rPr>
      </w:pPr>
      <w:r>
        <w:rPr>
          <w:rFonts w:hint="eastAsia" w:ascii="黑体" w:hAnsi="黑体" w:eastAsia="黑体" w:cs="黑体"/>
          <w:b/>
          <w:bCs/>
          <w:i w:val="0"/>
          <w:iCs w:val="0"/>
          <w:caps w:val="0"/>
          <w:color w:val="333333"/>
          <w:spacing w:val="0"/>
          <w:sz w:val="32"/>
          <w:szCs w:val="32"/>
          <w:bdr w:val="none" w:color="auto" w:sz="0" w:space="0"/>
          <w:shd w:val="clear" w:fill="FFFFFF"/>
        </w:rPr>
        <w:t>四、政府信息公开行政复议、行政诉讼情况</w:t>
      </w:r>
    </w:p>
    <w:tbl>
      <w:tblPr>
        <w:tblW w:w="9750"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644"/>
        <w:gridCol w:w="644"/>
        <w:gridCol w:w="644"/>
        <w:gridCol w:w="644"/>
        <w:gridCol w:w="674"/>
        <w:gridCol w:w="644"/>
        <w:gridCol w:w="644"/>
        <w:gridCol w:w="644"/>
        <w:gridCol w:w="644"/>
        <w:gridCol w:w="674"/>
        <w:gridCol w:w="644"/>
        <w:gridCol w:w="644"/>
        <w:gridCol w:w="644"/>
        <w:gridCol w:w="644"/>
        <w:gridCol w:w="674"/>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15" w:type="dxa"/>
            <w:left w:w="15" w:type="dxa"/>
            <w:bottom w:w="15" w:type="dxa"/>
            <w:right w:w="15" w:type="dxa"/>
          </w:tblCellMar>
        </w:tblPrEx>
        <w:tc>
          <w:tcPr>
            <w:tcW w:w="3255" w:type="dxa"/>
            <w:gridSpan w:val="5"/>
            <w:tcBorders>
              <w:top w:val="single" w:color="auto" w:sz="6" w:space="0"/>
              <w:left w:val="single" w:color="auto" w:sz="6" w:space="0"/>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行政复议</w:t>
            </w:r>
          </w:p>
        </w:tc>
        <w:tc>
          <w:tcPr>
            <w:tcW w:w="6495" w:type="dxa"/>
            <w:gridSpan w:val="10"/>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行政诉讼</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c>
          <w:tcPr>
            <w:tcW w:w="645" w:type="dxa"/>
            <w:vMerge w:val="restart"/>
            <w:tcBorders>
              <w:top w:val="nil"/>
              <w:left w:val="single" w:color="auto" w:sz="6" w:space="0"/>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结果维持</w:t>
            </w:r>
          </w:p>
        </w:tc>
        <w:tc>
          <w:tcPr>
            <w:tcW w:w="645" w:type="dxa"/>
            <w:vMerge w:val="restart"/>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结果</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纠正</w:t>
            </w:r>
          </w:p>
        </w:tc>
        <w:tc>
          <w:tcPr>
            <w:tcW w:w="645" w:type="dxa"/>
            <w:vMerge w:val="restart"/>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其他</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结果</w:t>
            </w:r>
          </w:p>
        </w:tc>
        <w:tc>
          <w:tcPr>
            <w:tcW w:w="645" w:type="dxa"/>
            <w:vMerge w:val="restart"/>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尚未</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审结</w:t>
            </w:r>
          </w:p>
        </w:tc>
        <w:tc>
          <w:tcPr>
            <w:tcW w:w="645" w:type="dxa"/>
            <w:vMerge w:val="restart"/>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总计</w:t>
            </w:r>
          </w:p>
        </w:tc>
        <w:tc>
          <w:tcPr>
            <w:tcW w:w="3255" w:type="dxa"/>
            <w:gridSpan w:val="5"/>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未经复议直接起诉</w:t>
            </w:r>
          </w:p>
        </w:tc>
        <w:tc>
          <w:tcPr>
            <w:tcW w:w="3255" w:type="dxa"/>
            <w:gridSpan w:val="5"/>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复议后起诉</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c>
          <w:tcPr>
            <w:tcW w:w="645" w:type="dxa"/>
            <w:vMerge w:val="continue"/>
            <w:tcBorders>
              <w:top w:val="nil"/>
              <w:left w:val="single" w:color="auto" w:sz="6" w:space="0"/>
              <w:bottom w:val="single" w:color="auto" w:sz="6" w:space="0"/>
              <w:right w:val="single" w:color="auto" w:sz="6" w:space="0"/>
            </w:tcBorders>
            <w:shd w:val="clear"/>
            <w:tcMar>
              <w:top w:w="0" w:type="dxa"/>
              <w:left w:w="105" w:type="dxa"/>
              <w:bottom w:w="0" w:type="dxa"/>
              <w:right w:w="105" w:type="dxa"/>
            </w:tcMar>
            <w:vAlign w:val="center"/>
          </w:tcPr>
          <w:p>
            <w:pPr>
              <w:rPr>
                <w:rFonts w:hint="eastAsia" w:ascii="宋体"/>
                <w:sz w:val="24"/>
                <w:szCs w:val="24"/>
              </w:rPr>
            </w:pPr>
          </w:p>
        </w:tc>
        <w:tc>
          <w:tcPr>
            <w:tcW w:w="645" w:type="dxa"/>
            <w:vMerge w:val="continue"/>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rPr>
                <w:rFonts w:hint="eastAsia" w:ascii="宋体"/>
                <w:sz w:val="24"/>
                <w:szCs w:val="24"/>
              </w:rPr>
            </w:pPr>
          </w:p>
        </w:tc>
        <w:tc>
          <w:tcPr>
            <w:tcW w:w="645" w:type="dxa"/>
            <w:vMerge w:val="continue"/>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rPr>
                <w:rFonts w:hint="eastAsia" w:ascii="宋体"/>
                <w:sz w:val="24"/>
                <w:szCs w:val="24"/>
              </w:rPr>
            </w:pPr>
          </w:p>
        </w:tc>
        <w:tc>
          <w:tcPr>
            <w:tcW w:w="645" w:type="dxa"/>
            <w:vMerge w:val="continue"/>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rPr>
                <w:rFonts w:hint="eastAsia" w:ascii="宋体"/>
                <w:sz w:val="24"/>
                <w:szCs w:val="24"/>
              </w:rPr>
            </w:pPr>
          </w:p>
        </w:tc>
        <w:tc>
          <w:tcPr>
            <w:tcW w:w="645" w:type="dxa"/>
            <w:vMerge w:val="continue"/>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rPr>
                <w:rFonts w:hint="eastAsia" w:ascii="宋体"/>
                <w:sz w:val="24"/>
                <w:szCs w:val="24"/>
              </w:rPr>
            </w:pP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结果</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维持</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结果</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纠正</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其他</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结果</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尚未</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审结</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总计</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结果</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维持</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结果</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纠正</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其他</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结果</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尚未</w:t>
            </w:r>
            <w:r>
              <w:rPr>
                <w:rFonts w:hint="eastAsia" w:ascii="微软雅黑" w:hAnsi="微软雅黑" w:eastAsia="微软雅黑" w:cs="微软雅黑"/>
                <w:color w:val="333333"/>
                <w:bdr w:val="none" w:color="auto" w:sz="0" w:space="0"/>
              </w:rPr>
              <w:br w:type="textWrapping"/>
            </w:r>
            <w:r>
              <w:rPr>
                <w:rFonts w:hint="eastAsia" w:ascii="微软雅黑" w:hAnsi="微软雅黑" w:eastAsia="微软雅黑" w:cs="微软雅黑"/>
                <w:color w:val="333333"/>
                <w:bdr w:val="none" w:color="auto" w:sz="0" w:space="0"/>
              </w:rPr>
              <w:t>审结</w:t>
            </w:r>
          </w:p>
        </w:tc>
        <w:tc>
          <w:tcPr>
            <w:tcW w:w="645" w:type="dxa"/>
            <w:tcBorders>
              <w:top w:val="single" w:color="auto" w:sz="6" w:space="0"/>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总计</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10" w:hRule="atLeast"/>
        </w:trPr>
        <w:tc>
          <w:tcPr>
            <w:tcW w:w="645" w:type="dxa"/>
            <w:tcBorders>
              <w:top w:val="nil"/>
              <w:left w:val="single" w:color="auto" w:sz="6" w:space="0"/>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c>
          <w:tcPr>
            <w:tcW w:w="645" w:type="dxa"/>
            <w:tcBorders>
              <w:top w:val="nil"/>
              <w:left w:val="nil"/>
              <w:bottom w:val="single" w:color="auto" w:sz="6" w:space="0"/>
              <w:right w:val="single" w:color="auto"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0" w:right="0"/>
              <w:jc w:val="left"/>
              <w:rPr>
                <w:rFonts w:hint="eastAsia" w:ascii="微软雅黑" w:hAnsi="微软雅黑" w:eastAsia="微软雅黑" w:cs="微软雅黑"/>
                <w:color w:val="333333"/>
              </w:rPr>
            </w:pPr>
            <w:r>
              <w:rPr>
                <w:rFonts w:hint="eastAsia" w:ascii="微软雅黑" w:hAnsi="微软雅黑" w:eastAsia="微软雅黑" w:cs="微软雅黑"/>
                <w:color w:val="333333"/>
                <w:bdr w:val="none" w:color="auto" w:sz="0" w:space="0"/>
              </w:rPr>
              <w:t>0</w:t>
            </w:r>
          </w:p>
        </w:tc>
      </w:tr>
    </w:tbl>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rPr>
          <w:rFonts w:hint="eastAsia" w:ascii="黑体" w:hAnsi="黑体" w:eastAsia="黑体" w:cs="黑体"/>
          <w:b/>
          <w:bCs/>
          <w:color w:val="333333"/>
          <w:sz w:val="32"/>
          <w:szCs w:val="32"/>
        </w:rPr>
      </w:pPr>
      <w:r>
        <w:rPr>
          <w:rFonts w:hint="eastAsia" w:ascii="黑体" w:hAnsi="黑体" w:eastAsia="黑体" w:cs="黑体"/>
          <w:b/>
          <w:bCs/>
          <w:i w:val="0"/>
          <w:iCs w:val="0"/>
          <w:caps w:val="0"/>
          <w:color w:val="333333"/>
          <w:spacing w:val="0"/>
          <w:sz w:val="32"/>
          <w:szCs w:val="32"/>
          <w:bdr w:val="none" w:color="auto" w:sz="0" w:space="0"/>
          <w:shd w:val="clear" w:fill="FFFFFF"/>
        </w:rPr>
        <w:t>五、存在的主要问题及改进情况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i w:val="0"/>
          <w:iCs w:val="0"/>
          <w:caps w:val="0"/>
          <w:color w:val="333333"/>
          <w:spacing w:val="0"/>
          <w:sz w:val="32"/>
          <w:szCs w:val="32"/>
          <w:bdr w:val="none" w:color="auto" w:sz="0" w:space="0"/>
          <w:shd w:val="clear" w:fill="FFFFFF"/>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2021年，</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郭干乡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信息公开工作取得了一定进展，但同时也存在一些不足。</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i w:val="0"/>
          <w:iCs w:val="0"/>
          <w:caps w:val="0"/>
          <w:color w:val="333333"/>
          <w:spacing w:val="0"/>
          <w:sz w:val="32"/>
          <w:szCs w:val="32"/>
          <w:bdr w:val="none" w:color="auto" w:sz="0" w:space="0"/>
          <w:shd w:val="clear" w:fill="FFFFFF"/>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一是</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信息</w:t>
      </w:r>
      <w:r>
        <w:rPr>
          <w:rFonts w:hint="eastAsia" w:ascii="仿宋_GB2312" w:hAnsi="仿宋_GB2312" w:eastAsia="仿宋_GB2312" w:cs="仿宋_GB2312"/>
          <w:i w:val="0"/>
          <w:iCs w:val="0"/>
          <w:caps w:val="0"/>
          <w:color w:val="333333"/>
          <w:spacing w:val="0"/>
          <w:sz w:val="32"/>
          <w:szCs w:val="32"/>
          <w:bdr w:val="none" w:color="auto" w:sz="0" w:space="0"/>
          <w:shd w:val="clear" w:fill="FFFFFF"/>
        </w:rPr>
        <w:t>公开</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不及时，</w:t>
      </w:r>
      <w:r>
        <w:rPr>
          <w:rFonts w:hint="eastAsia" w:ascii="仿宋_GB2312" w:hAnsi="仿宋_GB2312" w:eastAsia="仿宋_GB2312" w:cs="仿宋_GB2312"/>
          <w:i w:val="0"/>
          <w:iCs w:val="0"/>
          <w:caps w:val="0"/>
          <w:color w:val="333333"/>
          <w:spacing w:val="0"/>
          <w:sz w:val="32"/>
          <w:szCs w:val="32"/>
          <w:bdr w:val="none" w:color="auto" w:sz="0" w:space="0"/>
          <w:shd w:val="clear" w:fill="FFFFFF"/>
        </w:rPr>
        <w:t>内容较为简单，</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还有待进一步的补充完善</w:t>
      </w:r>
      <w:r>
        <w:rPr>
          <w:rFonts w:hint="eastAsia" w:ascii="仿宋_GB2312" w:hAnsi="仿宋_GB2312" w:eastAsia="仿宋_GB2312" w:cs="仿宋_GB2312"/>
          <w:i w:val="0"/>
          <w:iCs w:val="0"/>
          <w:caps w:val="0"/>
          <w:color w:val="333333"/>
          <w:spacing w:val="0"/>
          <w:sz w:val="32"/>
          <w:szCs w:val="32"/>
          <w:bdr w:val="none" w:color="auto" w:sz="0" w:space="0"/>
          <w:shd w:val="clear" w:fill="FFFFFF"/>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i w:val="0"/>
          <w:iCs w:val="0"/>
          <w:caps w:val="0"/>
          <w:color w:val="333333"/>
          <w:spacing w:val="0"/>
          <w:sz w:val="32"/>
          <w:szCs w:val="32"/>
          <w:bdr w:val="none" w:color="auto" w:sz="0" w:space="0"/>
          <w:shd w:val="clear" w:fill="FFFFFF"/>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二是信息公开</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流程不规范，信息质量不高</w:t>
      </w:r>
      <w:r>
        <w:rPr>
          <w:rFonts w:hint="eastAsia" w:ascii="仿宋_GB2312" w:hAnsi="仿宋_GB2312" w:eastAsia="仿宋_GB2312" w:cs="仿宋_GB2312"/>
          <w:i w:val="0"/>
          <w:iCs w:val="0"/>
          <w:caps w:val="0"/>
          <w:color w:val="333333"/>
          <w:spacing w:val="0"/>
          <w:sz w:val="32"/>
          <w:szCs w:val="32"/>
          <w:bdr w:val="none" w:color="auto" w:sz="0" w:space="0"/>
          <w:shd w:val="clear" w:fill="FFFFFF"/>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i w:val="0"/>
          <w:iCs w:val="0"/>
          <w:caps w:val="0"/>
          <w:color w:val="333333"/>
          <w:spacing w:val="0"/>
          <w:sz w:val="32"/>
          <w:szCs w:val="32"/>
          <w:bdr w:val="none" w:color="auto" w:sz="0" w:space="0"/>
          <w:shd w:val="clear" w:fill="FFFFFF"/>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三是</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信息涉及面不广泛，内容不够丰富，群众知晓度低</w:t>
      </w:r>
      <w:r>
        <w:rPr>
          <w:rFonts w:hint="eastAsia" w:ascii="仿宋_GB2312" w:hAnsi="仿宋_GB2312" w:eastAsia="仿宋_GB2312" w:cs="仿宋_GB2312"/>
          <w:i w:val="0"/>
          <w:iCs w:val="0"/>
          <w:caps w:val="0"/>
          <w:color w:val="333333"/>
          <w:spacing w:val="0"/>
          <w:sz w:val="32"/>
          <w:szCs w:val="32"/>
          <w:bdr w:val="none" w:color="auto" w:sz="0" w:space="0"/>
          <w:shd w:val="clear" w:fill="FFFFFF"/>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2022年，</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郭干乡</w:t>
      </w:r>
      <w:r>
        <w:rPr>
          <w:rFonts w:hint="eastAsia" w:ascii="仿宋_GB2312" w:hAnsi="仿宋_GB2312" w:eastAsia="仿宋_GB2312" w:cs="仿宋_GB2312"/>
          <w:i w:val="0"/>
          <w:iCs w:val="0"/>
          <w:caps w:val="0"/>
          <w:color w:val="333333"/>
          <w:spacing w:val="0"/>
          <w:sz w:val="32"/>
          <w:szCs w:val="32"/>
          <w:bdr w:val="none" w:color="auto" w:sz="0" w:space="0"/>
          <w:shd w:val="clear" w:fill="FFFFFF"/>
        </w:rPr>
        <w:t>将继续按照上级要求，结合当前工作实际，通过以下措施做好政府信息公开工作。</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加强业务人员培训</w:t>
      </w:r>
      <w:r>
        <w:rPr>
          <w:rFonts w:hint="eastAsia" w:ascii="仿宋_GB2312" w:hAnsi="仿宋_GB2312" w:eastAsia="仿宋_GB2312" w:cs="仿宋_GB2312"/>
          <w:i w:val="0"/>
          <w:iCs w:val="0"/>
          <w:caps w:val="0"/>
          <w:color w:val="333333"/>
          <w:spacing w:val="0"/>
          <w:sz w:val="32"/>
          <w:szCs w:val="32"/>
          <w:bdr w:val="none" w:color="auto" w:sz="0" w:space="0"/>
          <w:shd w:val="clear" w:fill="FFFFFF"/>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积极组织业务人员培训学习，加强与其他乡镇的沟通交流</w:t>
      </w:r>
      <w:r>
        <w:rPr>
          <w:rFonts w:hint="eastAsia" w:ascii="仿宋_GB2312" w:hAnsi="仿宋_GB2312" w:eastAsia="仿宋_GB2312" w:cs="仿宋_GB2312"/>
          <w:i w:val="0"/>
          <w:iCs w:val="0"/>
          <w:caps w:val="0"/>
          <w:color w:val="333333"/>
          <w:spacing w:val="0"/>
          <w:sz w:val="32"/>
          <w:szCs w:val="32"/>
          <w:bdr w:val="none" w:color="auto" w:sz="0" w:space="0"/>
          <w:shd w:val="clear" w:fill="FFFFFF"/>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学习经验，提升自身业务素质。</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shd w:val="clear" w:fill="FFFFFF"/>
        </w:rPr>
        <w:t>规范工作流程</w:t>
      </w:r>
      <w:r>
        <w:rPr>
          <w:rFonts w:hint="eastAsia" w:ascii="仿宋_GB2312" w:hAnsi="仿宋_GB2312" w:eastAsia="仿宋_GB2312" w:cs="仿宋_GB2312"/>
          <w:i w:val="0"/>
          <w:iCs w:val="0"/>
          <w:caps w:val="0"/>
          <w:color w:val="333333"/>
          <w:spacing w:val="0"/>
          <w:sz w:val="32"/>
          <w:szCs w:val="32"/>
          <w:shd w:val="clear" w:fill="FFFFFF"/>
          <w:lang w:eastAsia="zh-CN"/>
        </w:rPr>
        <w:t>。安排人员</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要</w:t>
      </w:r>
      <w:r>
        <w:rPr>
          <w:rFonts w:hint="eastAsia" w:ascii="仿宋_GB2312" w:hAnsi="仿宋_GB2312" w:eastAsia="仿宋_GB2312" w:cs="仿宋_GB2312"/>
          <w:i w:val="0"/>
          <w:iCs w:val="0"/>
          <w:caps w:val="0"/>
          <w:color w:val="333333"/>
          <w:spacing w:val="0"/>
          <w:sz w:val="32"/>
          <w:szCs w:val="32"/>
          <w:bdr w:val="none" w:color="auto" w:sz="0" w:space="0"/>
          <w:shd w:val="clear" w:fill="FFFFFF"/>
        </w:rPr>
        <w:t>及时</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更新</w:t>
      </w:r>
      <w:r>
        <w:rPr>
          <w:rFonts w:hint="eastAsia" w:ascii="仿宋_GB2312" w:hAnsi="仿宋_GB2312" w:eastAsia="仿宋_GB2312" w:cs="仿宋_GB2312"/>
          <w:i w:val="0"/>
          <w:iCs w:val="0"/>
          <w:caps w:val="0"/>
          <w:color w:val="333333"/>
          <w:spacing w:val="0"/>
          <w:sz w:val="32"/>
          <w:szCs w:val="32"/>
          <w:bdr w:val="none" w:color="auto" w:sz="0" w:space="0"/>
          <w:shd w:val="clear" w:fill="FFFFFF"/>
        </w:rPr>
        <w:t>，定期维护，确保政府信息公开</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及时性、完整性和有效性</w:t>
      </w:r>
      <w:r>
        <w:rPr>
          <w:rFonts w:hint="eastAsia" w:ascii="仿宋_GB2312" w:hAnsi="仿宋_GB2312" w:eastAsia="仿宋_GB2312" w:cs="仿宋_GB2312"/>
          <w:i w:val="0"/>
          <w:iCs w:val="0"/>
          <w:caps w:val="0"/>
          <w:color w:val="333333"/>
          <w:spacing w:val="0"/>
          <w:sz w:val="32"/>
          <w:szCs w:val="32"/>
          <w:bdr w:val="none" w:color="auto" w:sz="0" w:space="0"/>
          <w:shd w:val="clear" w:fill="FFFFFF"/>
        </w:rPr>
        <w:t>。</w:t>
      </w:r>
    </w:p>
    <w:p>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强化宣传。以社会关注度高、公共利益大的政府信息作为突破口，不断拓宽政府信息公开内容，包括惠民利民政策、工作成效、重要讲话等。同时，借助横幅、微信群、公众号、</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LED屏等形式进行信息公开，内容宣传。</w:t>
      </w:r>
    </w:p>
    <w:p>
      <w:pPr>
        <w:pStyle w:val="2"/>
        <w:keepNext w:val="0"/>
        <w:keepLines w:val="0"/>
        <w:widowControl/>
        <w:numPr>
          <w:numId w:val="0"/>
        </w:numPr>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420" w:leftChars="0" w:right="0" w:rightChars="0"/>
        <w:jc w:val="left"/>
        <w:rPr>
          <w:rFonts w:hint="eastAsia" w:ascii="仿宋_GB2312" w:hAnsi="仿宋_GB2312" w:eastAsia="仿宋_GB2312" w:cs="仿宋_GB2312"/>
          <w:i w:val="0"/>
          <w:iCs w:val="0"/>
          <w:caps w:val="0"/>
          <w:color w:val="333333"/>
          <w:spacing w:val="0"/>
          <w:sz w:val="32"/>
          <w:szCs w:val="32"/>
          <w:shd w:val="clear" w:fill="FFFFFF"/>
          <w:lang w:eastAsia="zh-CN"/>
        </w:rPr>
      </w:pPr>
      <w:r>
        <w:rPr>
          <w:rFonts w:hint="eastAsia" w:ascii="黑体" w:hAnsi="黑体" w:eastAsia="黑体" w:cs="黑体"/>
          <w:b/>
          <w:bCs/>
          <w:i w:val="0"/>
          <w:iCs w:val="0"/>
          <w:caps w:val="0"/>
          <w:color w:val="333333"/>
          <w:spacing w:val="0"/>
          <w:sz w:val="32"/>
          <w:szCs w:val="32"/>
          <w:bdr w:val="none" w:color="auto" w:sz="0" w:space="0"/>
          <w:shd w:val="clear" w:fill="FFFFFF"/>
          <w:lang w:eastAsia="zh-CN"/>
        </w:rPr>
        <w:t>六、</w:t>
      </w:r>
      <w:r>
        <w:rPr>
          <w:rFonts w:hint="eastAsia" w:ascii="黑体" w:hAnsi="黑体" w:eastAsia="黑体" w:cs="黑体"/>
          <w:b/>
          <w:bCs/>
          <w:i w:val="0"/>
          <w:iCs w:val="0"/>
          <w:caps w:val="0"/>
          <w:color w:val="333333"/>
          <w:spacing w:val="0"/>
          <w:sz w:val="32"/>
          <w:szCs w:val="32"/>
          <w:bdr w:val="none" w:color="auto" w:sz="0" w:space="0"/>
          <w:shd w:val="clear" w:fill="FFFFFF"/>
        </w:rPr>
        <w:t>其他需要报告的事项</w:t>
      </w:r>
    </w:p>
    <w:p>
      <w:pPr>
        <w:pStyle w:val="2"/>
        <w:keepNext w:val="0"/>
        <w:keepLines w:val="0"/>
        <w:widowControl/>
        <w:numPr>
          <w:numId w:val="0"/>
        </w:numPr>
        <w:suppressLineNumbers w:val="0"/>
        <w:pBdr>
          <w:top w:val="none" w:color="auto" w:sz="0" w:space="0"/>
          <w:left w:val="none" w:color="auto" w:sz="0" w:space="0"/>
          <w:bottom w:val="none" w:color="auto" w:sz="0" w:space="0"/>
          <w:right w:val="none" w:color="auto" w:sz="0" w:space="0"/>
        </w:pBdr>
        <w:spacing w:before="0" w:beforeAutospacing="0" w:after="150" w:afterAutospacing="0" w:line="420" w:lineRule="atLeast"/>
        <w:ind w:left="420" w:leftChars="0" w:right="0" w:rightChars="0"/>
        <w:jc w:val="left"/>
        <w:rPr>
          <w:rFonts w:hint="eastAsia" w:ascii="仿宋_GB2312" w:hAnsi="仿宋_GB2312" w:eastAsia="仿宋_GB2312" w:cs="仿宋_GB2312"/>
          <w:i w:val="0"/>
          <w:iCs w:val="0"/>
          <w:caps w:val="0"/>
          <w:color w:val="333333"/>
          <w:spacing w:val="0"/>
          <w:sz w:val="32"/>
          <w:szCs w:val="32"/>
          <w:shd w:val="clear" w:fill="FFFFFF"/>
          <w:lang w:eastAsia="zh-CN"/>
        </w:rPr>
      </w:pPr>
      <w:r>
        <w:rPr>
          <w:rFonts w:hint="eastAsia" w:ascii="仿宋_GB2312" w:hAnsi="仿宋_GB2312" w:eastAsia="仿宋_GB2312" w:cs="仿宋_GB2312"/>
          <w:i w:val="0"/>
          <w:iCs w:val="0"/>
          <w:caps w:val="0"/>
          <w:color w:val="333333"/>
          <w:spacing w:val="0"/>
          <w:sz w:val="32"/>
          <w:szCs w:val="32"/>
          <w:shd w:val="clear" w:fill="FFFFFF"/>
          <w:lang w:eastAsia="zh-CN"/>
        </w:rPr>
        <w:t>无</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姚体">
    <w:panose1 w:val="02010601030101010101"/>
    <w:charset w:val="86"/>
    <w:family w:val="auto"/>
    <w:pitch w:val="default"/>
    <w:sig w:usb0="00000003"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华文彩云">
    <w:panose1 w:val="02010800040101010101"/>
    <w:charset w:val="86"/>
    <w:family w:val="auto"/>
    <w:pitch w:val="default"/>
    <w:sig w:usb0="00000001" w:usb1="080F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幼圆">
    <w:panose1 w:val="02010509060101010101"/>
    <w:charset w:val="86"/>
    <w:family w:val="auto"/>
    <w:pitch w:val="default"/>
    <w:sig w:usb0="00000001" w:usb1="080E0000" w:usb2="00000000" w:usb3="00000000" w:csb0="00040000" w:csb1="00000000"/>
  </w:font>
  <w:font w:name="华文琥珀">
    <w:panose1 w:val="02010800040101010101"/>
    <w:charset w:val="86"/>
    <w:family w:val="auto"/>
    <w:pitch w:val="default"/>
    <w:sig w:usb0="00000001" w:usb1="080F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新宋体">
    <w:panose1 w:val="02010609030101010101"/>
    <w:charset w:val="86"/>
    <w:family w:val="auto"/>
    <w:pitch w:val="default"/>
    <w:sig w:usb0="00000003" w:usb1="288F0000" w:usb2="00000006" w:usb3="00000000" w:csb0="00040001" w:csb1="00000000"/>
  </w:font>
  <w:font w:name="方正兰亭黑简体">
    <w:panose1 w:val="02000000000000000000"/>
    <w:charset w:val="86"/>
    <w:family w:val="auto"/>
    <w:pitch w:val="default"/>
    <w:sig w:usb0="00000001" w:usb1="08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Batang">
    <w:panose1 w:val="02030600000101010101"/>
    <w:charset w:val="81"/>
    <w:family w:val="auto"/>
    <w:pitch w:val="default"/>
    <w:sig w:usb0="B00002AF" w:usb1="69D77CFB" w:usb2="00000030" w:usb3="00000000" w:csb0="4008009F" w:csb1="DFD70000"/>
  </w:font>
  <w:font w:name="楷体_GB2312">
    <w:panose1 w:val="02010609030101010101"/>
    <w:charset w:val="86"/>
    <w:family w:val="auto"/>
    <w:pitch w:val="default"/>
    <w:sig w:usb0="00000001" w:usb1="080E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新魏">
    <w:panose1 w:val="02010800040101010101"/>
    <w:charset w:val="86"/>
    <w:family w:val="auto"/>
    <w:pitch w:val="default"/>
    <w:sig w:usb0="00000001" w:usb1="080F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457AC1"/>
    <w:multiLevelType w:val="singleLevel"/>
    <w:tmpl w:val="61457AC1"/>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2066F1"/>
    <w:rsid w:val="6A206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Office_11.1.0.11405_F1E327BC-269C-435d-A152-05C5408002CA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2022-02-10T08:24:00Z</dcterms:created>
  <dc:creator>易岚君</dc:creator>
  <cp:lastModifiedBy>易岚君</cp:lastModifiedBy>
  <dcterms:modified xsi:type="dcterms:W3CDTF">2022-02-10T09:00:41Z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2052-11.1.0.11405</vt:lpwstr>
  </property>
  <property fmtid="{D5CDD505-2E9C-101B-9397-08002B2CF9AE}" pid="3" name="ICV">
    <vt:lpwstr>7EF32A1916454EAEA4F75291446C7417</vt:lpwstr>
  </property>
</Properties>
</file>