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楷体" w:hAnsi="楷体" w:eastAsia="楷体" w:cs="楷体"/>
          <w:b/>
          <w:bCs/>
          <w:sz w:val="32"/>
          <w:szCs w:val="32"/>
          <w:lang w:val="en-US" w:eastAsia="zh-CN"/>
        </w:rPr>
      </w:pPr>
      <w:r>
        <w:rPr>
          <w:rFonts w:hint="eastAsia" w:ascii="方正小标宋简体" w:hAnsi="方正小标宋简体" w:eastAsia="方正小标宋简体" w:cs="方正小标宋简体"/>
          <w:b/>
          <w:bCs/>
          <w:sz w:val="44"/>
          <w:szCs w:val="44"/>
          <w:lang w:val="en-US" w:eastAsia="zh-CN"/>
        </w:rPr>
        <w:t>2021年政务信息公开年度报告</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一、总体情况</w:t>
      </w:r>
    </w:p>
    <w:p>
      <w:pPr>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2021年，在县人民政府办公室的悉心指导下，我镇认真贯彻国务院和省、州、县关于政府信息公开的工作要求，坚持以公开透明、公平公正为主线，以服务中心、方便群众为立足点，以促进权力公开透明运行和重点领域信息公开工作为重点，围绕中心、贴近民生、强化措施，依法、及时、准确地公开了相关政府信息，推进政府信息公开工作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bdr w:val="none" w:color="auto" w:sz="0" w:space="0"/>
          <w:shd w:val="clear" w:fill="FFFFFF"/>
        </w:rPr>
        <w:t>二、2021年政务公开工作完成情况及成效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一</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根据</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积石山</w:t>
      </w:r>
      <w:r>
        <w:rPr>
          <w:rFonts w:hint="eastAsia" w:ascii="仿宋_GB2312" w:hAnsi="仿宋_GB2312" w:eastAsia="仿宋_GB2312" w:cs="仿宋_GB2312"/>
          <w:i w:val="0"/>
          <w:iCs w:val="0"/>
          <w:caps w:val="0"/>
          <w:color w:val="000000"/>
          <w:spacing w:val="0"/>
          <w:sz w:val="32"/>
          <w:szCs w:val="32"/>
          <w:bdr w:val="none" w:color="auto" w:sz="0" w:space="0"/>
          <w:shd w:val="clear" w:fill="FFFFFF"/>
        </w:rPr>
        <w:t>县政务公开相关文件、会议精神，继续做好网站的日常维护工作。及时更新网站要素信息，明确分工，保障网站的内容维护工作正常进行。对我镇政府信息公开平台法定主动公开内容目录进行了统一规范设置，各栏目完整度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二</w:t>
      </w:r>
      <w:bookmarkStart w:id="0" w:name="_GoBack"/>
      <w:bookmarkEnd w:id="0"/>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）政策解读和回应关切情况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紧紧围绕全镇发展目标，以政策解读质量为主线，坚持把人民群众普遍关心、涉及人民群众切身利益的问题作为政务公开的重点，回应社会关切，做好政策公开。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楷体" w:hAnsi="楷体" w:eastAsia="楷体" w:cs="楷体"/>
          <w:b/>
          <w:bCs/>
          <w:i w:val="0"/>
          <w:iCs w:val="0"/>
          <w:caps w:val="0"/>
          <w:color w:val="000000"/>
          <w:spacing w:val="0"/>
          <w:sz w:val="32"/>
          <w:szCs w:val="32"/>
        </w:rPr>
      </w:pPr>
      <w:r>
        <w:rPr>
          <w:rFonts w:hint="eastAsia" w:ascii="楷体" w:hAnsi="楷体" w:eastAsia="楷体" w:cs="楷体"/>
          <w:b/>
          <w:bCs/>
          <w:i w:val="0"/>
          <w:iCs w:val="0"/>
          <w:caps w:val="0"/>
          <w:color w:val="333333"/>
          <w:spacing w:val="0"/>
          <w:sz w:val="32"/>
          <w:szCs w:val="32"/>
          <w:shd w:val="clear" w:fill="FFFFFF"/>
          <w:lang w:eastAsia="zh-CN"/>
        </w:rPr>
        <w:t>三</w:t>
      </w:r>
      <w:r>
        <w:rPr>
          <w:rFonts w:hint="eastAsia" w:ascii="楷体" w:hAnsi="楷体" w:eastAsia="楷体" w:cs="楷体"/>
          <w:b/>
          <w:bCs/>
          <w:i w:val="0"/>
          <w:iCs w:val="0"/>
          <w:caps w:val="0"/>
          <w:color w:val="333333"/>
          <w:spacing w:val="0"/>
          <w:sz w:val="32"/>
          <w:szCs w:val="32"/>
          <w:shd w:val="clear" w:fill="FFFFFF"/>
        </w:rPr>
        <w:t>、主动公开政府信息情况</w:t>
      </w:r>
    </w:p>
    <w:tbl>
      <w:tblPr>
        <w:tblStyle w:val="3"/>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8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信息内容</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本年新</w:t>
            </w:r>
            <w:r>
              <w:rPr>
                <w:rFonts w:hint="eastAsia" w:ascii="宋体" w:hAnsi="宋体" w:eastAsia="宋体" w:cs="宋体"/>
                <w:i w:val="0"/>
                <w:iCs w:val="0"/>
                <w:caps w:val="0"/>
                <w:color w:val="000000"/>
                <w:spacing w:val="0"/>
                <w:sz w:val="19"/>
                <w:szCs w:val="19"/>
              </w:rPr>
              <w:br w:type="textWrapping"/>
            </w:r>
            <w:r>
              <w:rPr>
                <w:rFonts w:hint="eastAsia" w:ascii="宋体" w:hAnsi="宋体" w:eastAsia="宋体" w:cs="宋体"/>
                <w:i w:val="0"/>
                <w:iCs w:val="0"/>
                <w:caps w:val="0"/>
                <w:color w:val="000000"/>
                <w:spacing w:val="0"/>
                <w:sz w:val="19"/>
                <w:szCs w:val="19"/>
              </w:rPr>
              <w:t>制作数量</w:t>
            </w:r>
          </w:p>
        </w:tc>
        <w:tc>
          <w:tcPr>
            <w:tcW w:w="12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本年新</w:t>
            </w:r>
            <w:r>
              <w:rPr>
                <w:rFonts w:hint="eastAsia" w:ascii="宋体" w:hAnsi="宋体" w:eastAsia="宋体" w:cs="宋体"/>
                <w:i w:val="0"/>
                <w:iCs w:val="0"/>
                <w:caps w:val="0"/>
                <w:color w:val="000000"/>
                <w:spacing w:val="0"/>
                <w:sz w:val="19"/>
                <w:szCs w:val="19"/>
              </w:rPr>
              <w:br w:type="textWrapping"/>
            </w:r>
            <w:r>
              <w:rPr>
                <w:rFonts w:hint="eastAsia" w:ascii="宋体" w:hAnsi="宋体" w:eastAsia="宋体" w:cs="宋体"/>
                <w:i w:val="0"/>
                <w:iCs w:val="0"/>
                <w:caps w:val="0"/>
                <w:color w:val="000000"/>
                <w:spacing w:val="0"/>
                <w:sz w:val="19"/>
                <w:szCs w:val="19"/>
              </w:rPr>
              <w:t>公开数量</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规章</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c>
          <w:tcPr>
            <w:tcW w:w="12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规范性文件</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c>
          <w:tcPr>
            <w:tcW w:w="12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信息内容</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上一年项目数量</w:t>
            </w:r>
          </w:p>
        </w:tc>
        <w:tc>
          <w:tcPr>
            <w:tcW w:w="12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本年增/减</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行政许可</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12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其他对外管理服务事项</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12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信息内容</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上一年项目数量</w:t>
            </w:r>
          </w:p>
        </w:tc>
        <w:tc>
          <w:tcPr>
            <w:tcW w:w="12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本年增/减</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行政处罚</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12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行政强制</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12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信息内容</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000000"/>
                <w:spacing w:val="0"/>
                <w:sz w:val="19"/>
                <w:szCs w:val="19"/>
              </w:rPr>
              <w:t>上一年项目数量</w:t>
            </w:r>
          </w:p>
        </w:tc>
        <w:tc>
          <w:tcPr>
            <w:tcW w:w="315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行政事业性收费</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c>
          <w:tcPr>
            <w:tcW w:w="315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nil"/>
              <w:bottom w:val="nil"/>
              <w:right w:val="nil"/>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信息内容</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采购项目数量</w:t>
            </w:r>
          </w:p>
        </w:tc>
        <w:tc>
          <w:tcPr>
            <w:tcW w:w="315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12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政府集中采购</w:t>
            </w: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　0</w:t>
            </w:r>
          </w:p>
        </w:tc>
        <w:tc>
          <w:tcPr>
            <w:tcW w:w="315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lang w:val="en-US" w:eastAsia="zh-CN"/>
              </w:rPr>
            </w:pPr>
            <w:r>
              <w:rPr>
                <w:rFonts w:hint="eastAsia"/>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333333"/>
          <w:spacing w:val="0"/>
          <w:sz w:val="31"/>
          <w:szCs w:val="31"/>
          <w:shd w:val="clear" w:fill="FFFFFF"/>
          <w:lang w:eastAsia="zh-CN"/>
        </w:rPr>
        <w:t>四</w:t>
      </w:r>
      <w:r>
        <w:rPr>
          <w:rFonts w:hint="eastAsia" w:ascii="黑体" w:hAnsi="宋体" w:eastAsia="黑体" w:cs="黑体"/>
          <w:i w:val="0"/>
          <w:iCs w:val="0"/>
          <w:caps w:val="0"/>
          <w:color w:val="333333"/>
          <w:spacing w:val="0"/>
          <w:sz w:val="31"/>
          <w:szCs w:val="31"/>
          <w:shd w:val="clear" w:fill="FFFFFF"/>
        </w:rPr>
        <w:t>、收到和处理政府信息公开申请情况</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90"/>
        <w:gridCol w:w="852"/>
        <w:gridCol w:w="2209"/>
        <w:gridCol w:w="703"/>
        <w:gridCol w:w="757"/>
        <w:gridCol w:w="757"/>
        <w:gridCol w:w="816"/>
        <w:gridCol w:w="977"/>
        <w:gridCol w:w="713"/>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651" w:type="dxa"/>
            <w:gridSpan w:val="3"/>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（本列数据的勾稽关系为：第一项加第二项之和，等于第三项加第四项之和）</w:t>
            </w:r>
          </w:p>
        </w:tc>
        <w:tc>
          <w:tcPr>
            <w:tcW w:w="5424" w:type="dxa"/>
            <w:gridSpan w:val="7"/>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651" w:type="dxa"/>
            <w:gridSpan w:val="3"/>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703"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自然人</w:t>
            </w:r>
          </w:p>
        </w:tc>
        <w:tc>
          <w:tcPr>
            <w:tcW w:w="4020"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法人或其他组织</w:t>
            </w:r>
          </w:p>
        </w:tc>
        <w:tc>
          <w:tcPr>
            <w:tcW w:w="701"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651" w:type="dxa"/>
            <w:gridSpan w:val="3"/>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703"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商业企业</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科研机构</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社会公益组织</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法律服务机构</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其他</w:t>
            </w:r>
          </w:p>
        </w:tc>
        <w:tc>
          <w:tcPr>
            <w:tcW w:w="701"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651" w:type="dxa"/>
            <w:gridSpan w:val="3"/>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000000"/>
                <w:spacing w:val="0"/>
                <w:sz w:val="19"/>
                <w:szCs w:val="19"/>
              </w:rPr>
              <w:t>一、本年新收政府信息公开申请数量</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651" w:type="dxa"/>
            <w:gridSpan w:val="3"/>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000000"/>
                <w:spacing w:val="0"/>
                <w:sz w:val="19"/>
                <w:szCs w:val="19"/>
              </w:rPr>
              <w:t>二、上年结转政府信息公开申请数量</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三、本年度办理结果</w:t>
            </w:r>
          </w:p>
        </w:tc>
        <w:tc>
          <w:tcPr>
            <w:tcW w:w="3061"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ascii="楷体" w:hAnsi="楷体" w:eastAsia="楷体" w:cs="楷体"/>
                <w:i w:val="0"/>
                <w:iCs w:val="0"/>
                <w:caps w:val="0"/>
                <w:color w:val="000000"/>
                <w:spacing w:val="0"/>
                <w:sz w:val="19"/>
                <w:szCs w:val="19"/>
              </w:rPr>
              <w:t>（一）予以公开</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3061"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（二）部分公开（区分处理的，只计这一情形，不计其他情形）</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（三）不予公开</w:t>
            </w: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1.属于国家秘密</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2.其他法律行政法规禁止公开</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3.危及“三安全一稳定”</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0" w:hRule="atLeast"/>
        </w:trPr>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4.保护第三方合法权益</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5.属于三类内部事务信息</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6.属于四类过程性信息</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7.属于行政执法案卷</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8.属于行政查询事项</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（四）无法提供</w:t>
            </w: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1.本机关不掌握相关政府信息</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2.没有现成信息需要另行制作</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3.补正后申请内容仍不明确</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（五）不予处理</w:t>
            </w: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1.信访举报投诉类申请</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2.重复申请</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trPr>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3.要求提供公开出版物</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4.无正当理由大量反复申请</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852"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220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5.要求行政机关确认或重新出具已获取信息</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3061"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（六）其他处理</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9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3061"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楷体" w:hAnsi="楷体" w:eastAsia="楷体" w:cs="楷体"/>
                <w:i w:val="0"/>
                <w:iCs w:val="0"/>
                <w:caps w:val="0"/>
                <w:color w:val="000000"/>
                <w:spacing w:val="0"/>
                <w:sz w:val="19"/>
                <w:szCs w:val="19"/>
              </w:rPr>
              <w:t>（七）总计</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51" w:type="dxa"/>
            <w:gridSpan w:val="3"/>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000000"/>
                <w:spacing w:val="0"/>
                <w:sz w:val="19"/>
                <w:szCs w:val="19"/>
              </w:rPr>
              <w:t>四、结转下年度继续办理</w:t>
            </w:r>
          </w:p>
        </w:tc>
        <w:tc>
          <w:tcPr>
            <w:tcW w:w="7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75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81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977"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1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701"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24"/>
                <w:szCs w:val="24"/>
              </w:rPr>
              <w:t> </w:t>
            </w:r>
            <w:r>
              <w:rPr>
                <w:rFonts w:hint="default" w:ascii="Calibri" w:hAnsi="Calibri" w:eastAsia="Helvetica" w:cs="Calibri"/>
                <w:i w:val="0"/>
                <w:iCs w:val="0"/>
                <w:caps w:val="0"/>
                <w:color w:val="000000"/>
                <w:spacing w:val="0"/>
                <w:sz w:val="19"/>
                <w:szCs w:val="19"/>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310" w:firstLineChars="100"/>
        <w:jc w:val="both"/>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333333"/>
          <w:spacing w:val="0"/>
          <w:sz w:val="31"/>
          <w:szCs w:val="31"/>
          <w:shd w:val="clear" w:fill="FFFFFF"/>
          <w:lang w:eastAsia="zh-CN"/>
        </w:rPr>
        <w:t>五</w:t>
      </w:r>
      <w:r>
        <w:rPr>
          <w:rFonts w:hint="eastAsia" w:ascii="黑体" w:hAnsi="宋体" w:eastAsia="黑体" w:cs="黑体"/>
          <w:i w:val="0"/>
          <w:iCs w:val="0"/>
          <w:caps w:val="0"/>
          <w:color w:val="333333"/>
          <w:spacing w:val="0"/>
          <w:sz w:val="31"/>
          <w:szCs w:val="31"/>
          <w:shd w:val="clear" w:fill="FFFFFF"/>
        </w:rPr>
        <w:t>、政府信息公开行政复议、行政诉讼情况</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307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行政复议</w:t>
            </w:r>
          </w:p>
        </w:tc>
        <w:tc>
          <w:tcPr>
            <w:tcW w:w="6000" w:type="dxa"/>
            <w:gridSpan w:val="10"/>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结果维持</w:t>
            </w:r>
          </w:p>
        </w:tc>
        <w:tc>
          <w:tcPr>
            <w:tcW w:w="60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结果纠正</w:t>
            </w:r>
          </w:p>
        </w:tc>
        <w:tc>
          <w:tcPr>
            <w:tcW w:w="60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其他结果</w:t>
            </w:r>
          </w:p>
        </w:tc>
        <w:tc>
          <w:tcPr>
            <w:tcW w:w="60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尚未审结</w:t>
            </w:r>
          </w:p>
        </w:tc>
        <w:tc>
          <w:tcPr>
            <w:tcW w:w="66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总计</w:t>
            </w:r>
          </w:p>
        </w:tc>
        <w:tc>
          <w:tcPr>
            <w:tcW w:w="2970"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未经复议直接起诉</w:t>
            </w:r>
          </w:p>
        </w:tc>
        <w:tc>
          <w:tcPr>
            <w:tcW w:w="3030"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60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60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60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60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66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default" w:ascii="Helvetica" w:hAnsi="Helvetica" w:eastAsia="Helvetica" w:cs="Helvetica"/>
                <w:i w:val="0"/>
                <w:iCs w:val="0"/>
                <w:caps w:val="0"/>
                <w:color w:val="000000"/>
                <w:spacing w:val="0"/>
                <w:sz w:val="21"/>
                <w:szCs w:val="21"/>
              </w:rPr>
            </w:pPr>
          </w:p>
        </w:tc>
        <w:tc>
          <w:tcPr>
            <w:tcW w:w="55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结果维持</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结果纠正</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其他结果</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尚未审结</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总计</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结果维持</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结果纠正</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其他结果</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尚未审结</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0 </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6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default" w:ascii="Calibri" w:hAnsi="Calibri" w:eastAsia="Helvetica" w:cs="Calibri"/>
                <w:i w:val="0"/>
                <w:iCs w:val="0"/>
                <w:caps w:val="0"/>
                <w:color w:val="000000"/>
                <w:spacing w:val="0"/>
                <w:sz w:val="19"/>
                <w:szCs w:val="19"/>
              </w:rPr>
              <w:t> 0</w:t>
            </w:r>
          </w:p>
        </w:tc>
        <w:tc>
          <w:tcPr>
            <w:tcW w:w="55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宋体" w:hAnsi="宋体" w:eastAsia="宋体" w:cs="宋体"/>
                <w:i w:val="0"/>
                <w:iCs w:val="0"/>
                <w:caps w:val="0"/>
                <w:color w:val="000000"/>
                <w:spacing w:val="0"/>
                <w:sz w:val="19"/>
                <w:szCs w:val="19"/>
              </w:rPr>
              <w:t> 0</w:t>
            </w:r>
          </w:p>
        </w:tc>
        <w:tc>
          <w:tcPr>
            <w:tcW w:w="6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楷体" w:hAnsi="楷体" w:eastAsia="楷体" w:cs="楷体"/>
          <w:b/>
          <w:bCs w:val="0"/>
          <w:i w:val="0"/>
          <w:iCs w:val="0"/>
          <w:caps w:val="0"/>
          <w:color w:val="000000"/>
          <w:spacing w:val="0"/>
          <w:sz w:val="32"/>
          <w:szCs w:val="32"/>
        </w:rPr>
      </w:pPr>
      <w:r>
        <w:rPr>
          <w:rStyle w:val="5"/>
          <w:rFonts w:hint="eastAsia" w:ascii="楷体" w:hAnsi="楷体" w:eastAsia="楷体" w:cs="楷体"/>
          <w:b/>
          <w:bCs w:val="0"/>
          <w:i w:val="0"/>
          <w:iCs w:val="0"/>
          <w:caps w:val="0"/>
          <w:color w:val="000000"/>
          <w:spacing w:val="0"/>
          <w:sz w:val="32"/>
          <w:szCs w:val="32"/>
          <w:bdr w:val="none" w:color="auto" w:sz="0" w:space="0"/>
          <w:shd w:val="clear" w:fill="FFFFFF"/>
          <w:lang w:eastAsia="zh-CN"/>
        </w:rPr>
        <w:t>六</w:t>
      </w:r>
      <w:r>
        <w:rPr>
          <w:rStyle w:val="5"/>
          <w:rFonts w:hint="eastAsia" w:ascii="楷体" w:hAnsi="楷体" w:eastAsia="楷体" w:cs="楷体"/>
          <w:b/>
          <w:bCs w:val="0"/>
          <w:i w:val="0"/>
          <w:iCs w:val="0"/>
          <w:caps w:val="0"/>
          <w:color w:val="000000"/>
          <w:spacing w:val="0"/>
          <w:sz w:val="32"/>
          <w:szCs w:val="32"/>
          <w:bdr w:val="none" w:color="auto" w:sz="0" w:space="0"/>
          <w:shd w:val="clear" w:fill="FFFFFF"/>
        </w:rPr>
        <w:t>、存在的主要问题及改进情况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2021年，我镇政府信息公开工作在县政府办的精心指导下，虽然取得了一些成效，但我们也清醒地认识到，还存在一些问题：一是政府信息公开主动性、全面性、及时性还达不到要求；二是负责政务公开的工作人员工作能力和水平还有待进一步提高；三是公开的内容和渠道还不够丰富。针对存在问题，在下步工作中，我镇将从以下几方面进行改进：一是加强领导，落实责任。认真贯彻落实《中华人民共和国政府信息公开条例》及省州县关于政府信息与政务公开工作的有关决策部署和要求，紧紧围绕工作重点和年度目标任务，进一步加强组织领导，压实责任，形成主要领导亲自研究部署，分管领导督促落实，工作人员抓日常工作的格局，切实抓好各项工作任务的落实。二是坚持问题导向，抓好问题整改。针对存在的问题认真分析研究，找准结症，结合印发的工作制度，制定务实管用的措施，定人定责，明确时限，加强监督检查，严格责任追究，确保工作落到实处，切实提高政务公开工作的质量和水平。三是强化制度执行，全面提升标准化规范化水平。坚持“以公开为常态、不公开为例外”的总体要求，加强指导监督，强化工作过程的管理和检查，督促各职能站所及时提供各类主动公开信息，切实抓好群众关注度高、涉及群众切身利益的各类政府信息的公开，提升公开的全面性。认真执行文件及其他信息撰写、编制、采集、审核、保密审查、信息发布工作流程，加强文件和信息内容的审核校对，确保上网文件和信息的严肃性、准确性和规范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C766C"/>
    <w:rsid w:val="63FC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2022-02-09T08:59:34Z</dcterms:created>
  <dc:creator>Administrator</dc:creator>
  <cp:lastModifiedBy>剑雨</cp:lastModifiedBy>
  <dcterms:modified xsi:type="dcterms:W3CDTF">2022-02-09T09:11:01Z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A8730C80A8C64B1C87F80F926C5201C6</vt:lpwstr>
  </property>
</Properties>
</file>