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积石山县民政局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21"/>
          <w:szCs w:val="21"/>
          <w:shd w:val="clear" w:fill="FFFFFF"/>
        </w:rPr>
        <w:t>　</w:t>
      </w:r>
      <w:r>
        <w:rPr>
          <w:rStyle w:val="5"/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Style w:val="5"/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为了全面开展好政务信息公开工作，我局结合工作实际，成立了以局党组书记、局长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李小军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为组长，局班子成员为副组长，各股室负责人为成员的政府信息公开领导小组，并安排专人负责政府信息公开工作，严格责任落实，着力构建政务信息公开工作体系。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97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本年制发件数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规章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行政规范性文件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 w:firstLineChars="200"/>
        <w:jc w:val="left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111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945"/>
        <w:gridCol w:w="3199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490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auto"/>
                <w:spacing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8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49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自然人</w:t>
            </w:r>
          </w:p>
        </w:tc>
        <w:tc>
          <w:tcPr>
            <w:tcW w:w="34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49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企业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机构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社会公益组织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法律服务机构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49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49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76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三、本年度办理结果</w:t>
            </w:r>
          </w:p>
        </w:tc>
        <w:tc>
          <w:tcPr>
            <w:tcW w:w="4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（一）予以公开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（二）部分公开</w:t>
            </w:r>
            <w:r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1"/>
                <w:szCs w:val="21"/>
              </w:rPr>
              <w:t>（区分处理的，只计这一情形，不计其他情形）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（三）不予公开</w:t>
            </w:r>
          </w:p>
        </w:tc>
        <w:tc>
          <w:tcPr>
            <w:tcW w:w="3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t>1.属于国家秘密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t>2.其他法律行政法规禁止公开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t>3.危及“三安全一稳定”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t>4.保护第三方合法权益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t>5.属于三类内部事务信息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t>6.属于四类过程性信息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t>7.属于行政执法案卷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t>8.属于行政查询事项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（四）无法提供</w:t>
            </w:r>
          </w:p>
        </w:tc>
        <w:tc>
          <w:tcPr>
            <w:tcW w:w="3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t>2.没有现成信息需要另行制作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t>3.补正后申请内容仍不明确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（五）不予处理</w:t>
            </w:r>
          </w:p>
        </w:tc>
        <w:tc>
          <w:tcPr>
            <w:tcW w:w="3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t>1.信访举报投诉类申请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t>2.重复申请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t>3.要求提供公开出版物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t>4.无正当理由大量反复申请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  <w:trHeight w:val="780" w:hRule="atLeast"/>
        </w:trPr>
        <w:tc>
          <w:tcPr>
            <w:tcW w:w="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（六）其他处理</w:t>
            </w:r>
          </w:p>
        </w:tc>
        <w:tc>
          <w:tcPr>
            <w:tcW w:w="3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84" w:type="dxa"/>
        </w:trPr>
        <w:tc>
          <w:tcPr>
            <w:tcW w:w="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3.其他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" w:type="dxa"/>
        </w:trPr>
        <w:tc>
          <w:tcPr>
            <w:tcW w:w="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（七）总计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四、结转下年度继续办理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" w:hAnsi="Helvetica" w:eastAsia="宋体" w:cs="Helvetica"/>
                <w:i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 w:firstLineChars="200"/>
        <w:jc w:val="left"/>
        <w:rPr>
          <w:rStyle w:val="5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行政复议</w:t>
            </w:r>
          </w:p>
        </w:tc>
        <w:tc>
          <w:tcPr>
            <w:tcW w:w="64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结果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其他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结果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尚未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审结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结果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维持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结果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纠正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其他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尚未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审结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结果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维持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结果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纠正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其他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尚未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auto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审结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 w:firstLineChars="200"/>
        <w:jc w:val="both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年，我局严格按照《中华人民共和国政府信息公开条例》及省、州政府信息公开工作有关规定，对政务信息实行了及时、有效公开，但工作中仍存在公开时限不规范、公开内容不充实等问题。下一步将从以下3个方面改进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加大信息公开力度，进一步加强组织领导。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进一步梳理县民政局职能职责，保证公开信息的完整、及时、有效。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夯实工作基础，加强政务公开信息人员的培训，加强信息公开的审核把关，切实提高政府信息公开工作水平。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积石山县民政局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2022年1月20日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E41251"/>
    <w:rsid w:val="303D5395"/>
    <w:rsid w:val="64A1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鄠窊</cp:lastModifiedBy>
  <cp:lastPrinted>2022-01-20T10:05:13Z</cp:lastPrinted>
  <dcterms:modified xsi:type="dcterms:W3CDTF">2022-01-20T10:05:46Z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BAA3B52037A6466283E774F2E1A5A6B7</vt:lpwstr>
  </property>
</Properties>
</file>